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447D0">
      <w:pPr>
        <w:spacing w:before="120" w:after="120" w:line="312" w:lineRule="auto"/>
        <w:jc w:val="left"/>
      </w:pPr>
      <w:r>
        <w:t>ICS号</w:t>
      </w:r>
    </w:p>
    <w:p w14:paraId="1FC66BA5">
      <w:pPr>
        <w:spacing w:before="120" w:after="120" w:line="312" w:lineRule="auto"/>
        <w:rPr>
          <w:sz w:val="44"/>
          <w:szCs w:val="44"/>
        </w:rPr>
      </w:pPr>
      <w:r>
        <w:t>中国标准文献会类号</w:t>
      </w:r>
    </w:p>
    <w:p w14:paraId="1A1C5809">
      <w:pPr>
        <w:spacing w:before="120" w:after="120" w:line="312" w:lineRule="auto"/>
        <w:jc w:val="center"/>
        <w:outlineLvl w:val="3"/>
        <w:rPr>
          <w:rFonts w:hint="eastAsia" w:ascii="黑体" w:hAnsi="黑体" w:eastAsia="黑体" w:cs="黑体"/>
          <w:sz w:val="32"/>
          <w:szCs w:val="32"/>
        </w:rPr>
      </w:pPr>
      <w:bookmarkStart w:id="0" w:name="_Toc19438"/>
      <w:r>
        <w:rPr>
          <w:rFonts w:hint="eastAsia" w:ascii="黑体" w:hAnsi="黑体" w:eastAsia="黑体" w:cs="黑体"/>
          <w:sz w:val="40"/>
          <w:szCs w:val="40"/>
        </w:rPr>
        <w:t>广东建设科技与标准化协会标准</w:t>
      </w:r>
      <w:bookmarkEnd w:id="0"/>
    </w:p>
    <w:p w14:paraId="4C6A027F">
      <w:pPr>
        <w:spacing w:before="120" w:after="120" w:line="312" w:lineRule="auto"/>
        <w:ind w:firstLine="480"/>
        <w:jc w:val="right"/>
      </w:pPr>
      <w:r>
        <w:t>T/GDJSKB XXX-XXXX</w:t>
      </w:r>
    </w:p>
    <w:p w14:paraId="73D3E11E">
      <w:pPr>
        <w:spacing w:before="120" w:after="120" w:line="312" w:lineRule="auto"/>
        <w:ind w:firstLine="720"/>
        <w:rPr>
          <w:sz w:val="36"/>
          <w:szCs w:val="36"/>
        </w:rPr>
      </w:pPr>
      <w:r>
        <w:rPr>
          <w:sz w:val="36"/>
          <w:szCs w:val="36"/>
        </w:rPr>
        <mc:AlternateContent>
          <mc:Choice Requires="wps">
            <w:drawing>
              <wp:anchor distT="0" distB="0" distL="0" distR="0" simplePos="0" relativeHeight="251659264" behindDoc="0" locked="0" layoutInCell="1" allowOverlap="1">
                <wp:simplePos x="0" y="0"/>
                <wp:positionH relativeFrom="column">
                  <wp:posOffset>64770</wp:posOffset>
                </wp:positionH>
                <wp:positionV relativeFrom="paragraph">
                  <wp:posOffset>9525</wp:posOffset>
                </wp:positionV>
                <wp:extent cx="5943600" cy="32385"/>
                <wp:effectExtent l="0" t="6350" r="0" b="18415"/>
                <wp:wrapNone/>
                <wp:docPr id="1026" name="直接连接符 4"/>
                <wp:cNvGraphicFramePr/>
                <a:graphic xmlns:a="http://schemas.openxmlformats.org/drawingml/2006/main">
                  <a:graphicData uri="http://schemas.microsoft.com/office/word/2010/wordprocessingShape">
                    <wps:wsp>
                      <wps:cNvCnPr/>
                      <wps:spPr>
                        <a:xfrm flipV="1">
                          <a:off x="0" y="0"/>
                          <a:ext cx="5943600" cy="32385"/>
                        </a:xfrm>
                        <a:prstGeom prst="line">
                          <a:avLst/>
                        </a:prstGeom>
                        <a:ln w="12700" cap="flat" cmpd="sng">
                          <a:solidFill>
                            <a:srgbClr val="000000"/>
                          </a:solidFill>
                          <a:prstDash val="solid"/>
                          <a:round/>
                        </a:ln>
                      </wps:spPr>
                      <wps:bodyPr/>
                    </wps:wsp>
                  </a:graphicData>
                </a:graphic>
              </wp:anchor>
            </w:drawing>
          </mc:Choice>
          <mc:Fallback>
            <w:pict>
              <v:line id="直接连接符 4" o:spid="_x0000_s1026" o:spt="20" style="position:absolute;left:0pt;flip:y;margin-left:5.1pt;margin-top:0.75pt;height:2.55pt;width:468pt;z-index:251659264;mso-width-relative:page;mso-height-relative:page;" filled="f" stroked="t" coordsize="21600,21600" o:gfxdata="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3X/HUAAAABgEAAA8AAAAA&#10;AAAAAQAgAAAAIgAAAGRycy9kb3ducmV2LnhtbFBLAQIUABQAAAAIAIdO4kBsJmgq3wEAAKADAAAO&#10;AAAAAAAAAAEAIAAAACMBAABkcnMvZTJvRG9jLnhtbFBLBQYAAAAABgAGAFkBAAB0BQAAAAA=&#10;">
                <v:fill on="f" focussize="0,0"/>
                <v:stroke weight="1pt" color="#000000" joinstyle="round"/>
                <v:imagedata o:title=""/>
                <o:lock v:ext="edit" aspectratio="f"/>
              </v:line>
            </w:pict>
          </mc:Fallback>
        </mc:AlternateContent>
      </w:r>
    </w:p>
    <w:p w14:paraId="22702540">
      <w:pPr>
        <w:spacing w:before="120" w:after="120" w:line="312" w:lineRule="auto"/>
        <w:ind w:firstLine="720"/>
        <w:rPr>
          <w:sz w:val="36"/>
          <w:szCs w:val="36"/>
        </w:rPr>
      </w:pPr>
    </w:p>
    <w:p w14:paraId="4351CAB6">
      <w:pPr>
        <w:spacing w:before="120" w:after="120" w:line="312" w:lineRule="auto"/>
        <w:jc w:val="center"/>
        <w:rPr>
          <w:sz w:val="48"/>
          <w:szCs w:val="44"/>
        </w:rPr>
      </w:pPr>
      <w:bookmarkStart w:id="1" w:name="_Toc10043"/>
      <w:r>
        <w:rPr>
          <w:sz w:val="48"/>
          <w:szCs w:val="44"/>
        </w:rPr>
        <w:t>广东省高品质建筑室内环境技术标准</w:t>
      </w:r>
      <w:bookmarkEnd w:id="1"/>
    </w:p>
    <w:p w14:paraId="33DA8661">
      <w:pPr>
        <w:spacing w:before="120" w:after="120" w:line="312" w:lineRule="auto"/>
        <w:jc w:val="center"/>
        <w:rPr>
          <w:w w:val="95"/>
          <w:sz w:val="36"/>
          <w:szCs w:val="36"/>
        </w:rPr>
      </w:pPr>
      <w:r>
        <w:rPr>
          <w:w w:val="95"/>
          <w:sz w:val="36"/>
          <w:szCs w:val="36"/>
        </w:rPr>
        <w:t>Technical Standard for Indoor Environment of High-quality Building in Guangdong Province</w:t>
      </w:r>
    </w:p>
    <w:p w14:paraId="6161FE0B">
      <w:pPr>
        <w:spacing w:before="120" w:after="120" w:line="312" w:lineRule="auto"/>
        <w:ind w:firstLine="529"/>
        <w:jc w:val="center"/>
        <w:rPr>
          <w:w w:val="95"/>
          <w:sz w:val="28"/>
          <w:szCs w:val="28"/>
        </w:rPr>
      </w:pPr>
    </w:p>
    <w:p w14:paraId="075BDECA">
      <w:pPr>
        <w:spacing w:before="120" w:after="120" w:line="312" w:lineRule="auto"/>
        <w:ind w:firstLine="529"/>
        <w:jc w:val="center"/>
        <w:rPr>
          <w:w w:val="95"/>
          <w:sz w:val="28"/>
          <w:szCs w:val="28"/>
        </w:rPr>
      </w:pPr>
      <w:r>
        <w:rPr>
          <w:w w:val="95"/>
          <w:sz w:val="28"/>
          <w:szCs w:val="28"/>
        </w:rPr>
        <w:t>（</w:t>
      </w:r>
      <w:r>
        <w:rPr>
          <w:rFonts w:hint="eastAsia"/>
          <w:w w:val="95"/>
          <w:sz w:val="28"/>
          <w:szCs w:val="28"/>
        </w:rPr>
        <w:t>征求意见</w:t>
      </w:r>
      <w:r>
        <w:rPr>
          <w:w w:val="95"/>
          <w:sz w:val="28"/>
          <w:szCs w:val="28"/>
        </w:rPr>
        <w:t>稿）</w:t>
      </w:r>
    </w:p>
    <w:p w14:paraId="6A7EA959">
      <w:pPr>
        <w:spacing w:before="120" w:after="120" w:line="312" w:lineRule="auto"/>
        <w:ind w:firstLine="1440"/>
        <w:jc w:val="center"/>
        <w:rPr>
          <w:sz w:val="72"/>
          <w:szCs w:val="72"/>
        </w:rPr>
      </w:pPr>
    </w:p>
    <w:p w14:paraId="18339D7E">
      <w:pPr>
        <w:spacing w:before="120" w:after="120" w:line="312" w:lineRule="auto"/>
        <w:ind w:firstLine="1440"/>
        <w:jc w:val="center"/>
        <w:rPr>
          <w:sz w:val="72"/>
          <w:szCs w:val="72"/>
        </w:rPr>
      </w:pPr>
    </w:p>
    <w:p w14:paraId="0F2D9C4E">
      <w:pPr>
        <w:spacing w:before="120" w:after="120" w:line="312" w:lineRule="auto"/>
        <w:rPr>
          <w:sz w:val="72"/>
          <w:szCs w:val="72"/>
        </w:rPr>
      </w:pPr>
    </w:p>
    <w:p w14:paraId="63D21248">
      <w:pPr>
        <w:spacing w:before="120" w:after="120" w:line="312" w:lineRule="auto"/>
        <w:ind w:firstLine="1440"/>
        <w:jc w:val="center"/>
        <w:rPr>
          <w:sz w:val="72"/>
          <w:szCs w:val="72"/>
        </w:rPr>
      </w:pPr>
    </w:p>
    <w:p w14:paraId="5EB32D94">
      <w:pPr>
        <w:spacing w:before="120" w:after="120" w:line="312" w:lineRule="auto"/>
        <w:jc w:val="left"/>
        <w:rPr>
          <w:sz w:val="36"/>
          <w:szCs w:val="36"/>
        </w:rPr>
      </w:pPr>
      <w:r>
        <w:rPr>
          <w:sz w:val="36"/>
          <w:szCs w:val="36"/>
        </w:rPr>
        <mc:AlternateContent>
          <mc:Choice Requires="wps">
            <w:drawing>
              <wp:anchor distT="0" distB="0" distL="0" distR="0" simplePos="0" relativeHeight="251660288" behindDoc="0" locked="0" layoutInCell="1" allowOverlap="1">
                <wp:simplePos x="0" y="0"/>
                <wp:positionH relativeFrom="column">
                  <wp:posOffset>-53975</wp:posOffset>
                </wp:positionH>
                <wp:positionV relativeFrom="paragraph">
                  <wp:posOffset>323850</wp:posOffset>
                </wp:positionV>
                <wp:extent cx="6063615" cy="0"/>
                <wp:effectExtent l="0" t="6350" r="0" b="6350"/>
                <wp:wrapNone/>
                <wp:docPr id="1027" name="直接连接符 6"/>
                <wp:cNvGraphicFramePr/>
                <a:graphic xmlns:a="http://schemas.openxmlformats.org/drawingml/2006/main">
                  <a:graphicData uri="http://schemas.microsoft.com/office/word/2010/wordprocessingShape">
                    <wps:wsp>
                      <wps:cNvCnPr/>
                      <wps:spPr>
                        <a:xfrm flipV="1">
                          <a:off x="0" y="0"/>
                          <a:ext cx="6063615" cy="0"/>
                        </a:xfrm>
                        <a:prstGeom prst="line">
                          <a:avLst/>
                        </a:prstGeom>
                        <a:ln w="12700" cap="flat" cmpd="sng">
                          <a:solidFill>
                            <a:srgbClr val="000000"/>
                          </a:solidFill>
                          <a:prstDash val="solid"/>
                          <a:round/>
                        </a:ln>
                      </wps:spPr>
                      <wps:bodyPr/>
                    </wps:wsp>
                  </a:graphicData>
                </a:graphic>
              </wp:anchor>
            </w:drawing>
          </mc:Choice>
          <mc:Fallback>
            <w:pict>
              <v:line id="直接连接符 6" o:spid="_x0000_s1026" o:spt="20" style="position:absolute;left:0pt;flip:y;margin-left:-4.25pt;margin-top:25.5pt;height:0pt;width:477.45pt;z-index:251660288;mso-width-relative:page;mso-height-relative:page;" filled="f" stroked="t" coordsize="21600,21600" o:gfxdata="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6iRn1wAAAAgBAAAPAAAAAAAA&#10;AAEAIAAAACIAAABkcnMvZG93bnJldi54bWxQSwECFAAUAAAACACHTuJAzx3wOdoBAACcAwAADgAA&#10;AAAAAAABACAAAAAmAQAAZHJzL2Uyb0RvYy54bWxQSwUGAAAAAAYABgBZAQAAcgUAAAAA&#10;">
                <v:fill on="f" focussize="0,0"/>
                <v:stroke weight="1pt" color="#000000" joinstyle="round"/>
                <v:imagedata o:title=""/>
                <o:lock v:ext="edit" aspectratio="f"/>
              </v:line>
            </w:pict>
          </mc:Fallback>
        </mc:AlternateContent>
      </w:r>
      <w:r>
        <w:rPr>
          <w:sz w:val="36"/>
          <w:szCs w:val="36"/>
        </w:rPr>
        <w:t xml:space="preserve">XXXX-XX-XX发布   </w:t>
      </w:r>
      <w:r>
        <w:rPr>
          <w:rFonts w:hint="eastAsia"/>
          <w:sz w:val="36"/>
          <w:szCs w:val="36"/>
        </w:rPr>
        <w:t xml:space="preserve">   </w:t>
      </w:r>
      <w:r>
        <w:rPr>
          <w:sz w:val="36"/>
          <w:szCs w:val="36"/>
        </w:rPr>
        <w:t xml:space="preserve">    XXXX-XX-XX实施</w:t>
      </w:r>
    </w:p>
    <w:p w14:paraId="1AE8615B">
      <w:pPr>
        <w:spacing w:before="120" w:after="120" w:line="312" w:lineRule="auto"/>
        <w:ind w:firstLine="720"/>
        <w:jc w:val="center"/>
        <w:rPr>
          <w:rFonts w:hint="eastAsia" w:ascii="黑体" w:hAnsi="黑体" w:eastAsia="黑体" w:cs="黑体"/>
          <w:sz w:val="36"/>
          <w:szCs w:val="36"/>
        </w:rPr>
      </w:pPr>
      <w:r>
        <w:rPr>
          <w:rFonts w:hint="eastAsia" w:ascii="黑体" w:hAnsi="黑体" w:eastAsia="黑体" w:cs="黑体"/>
          <w:sz w:val="36"/>
          <w:szCs w:val="36"/>
        </w:rPr>
        <w:t>广东建设科技与标准化协会  发布</w:t>
      </w:r>
    </w:p>
    <w:p w14:paraId="5FEBAAB0">
      <w:pPr>
        <w:autoSpaceDE w:val="0"/>
        <w:autoSpaceDN w:val="0"/>
        <w:adjustRightInd w:val="0"/>
        <w:spacing w:before="120" w:after="120" w:line="312" w:lineRule="auto"/>
        <w:ind w:firstLine="640"/>
        <w:jc w:val="center"/>
        <w:rPr>
          <w:kern w:val="0"/>
          <w:sz w:val="32"/>
          <w:szCs w:val="32"/>
        </w:rPr>
      </w:pPr>
    </w:p>
    <w:p w14:paraId="6EFFF87A">
      <w:pPr>
        <w:autoSpaceDE w:val="0"/>
        <w:autoSpaceDN w:val="0"/>
        <w:adjustRightInd w:val="0"/>
        <w:spacing w:before="120" w:after="120" w:line="312" w:lineRule="auto"/>
        <w:jc w:val="center"/>
        <w:rPr>
          <w:kern w:val="0"/>
          <w:sz w:val="72"/>
          <w:szCs w:val="32"/>
        </w:rPr>
      </w:pPr>
      <w:r>
        <w:rPr>
          <w:kern w:val="0"/>
          <w:sz w:val="72"/>
          <w:szCs w:val="32"/>
        </w:rPr>
        <w:t>团 体 标 准</w:t>
      </w:r>
    </w:p>
    <w:p w14:paraId="6CEC58A7">
      <w:pPr>
        <w:spacing w:before="120" w:after="120" w:line="312" w:lineRule="auto"/>
        <w:jc w:val="center"/>
        <w:rPr>
          <w:sz w:val="48"/>
          <w:szCs w:val="48"/>
        </w:rPr>
      </w:pPr>
    </w:p>
    <w:p w14:paraId="4211F415">
      <w:pPr>
        <w:spacing w:before="120" w:after="120" w:line="312" w:lineRule="auto"/>
        <w:jc w:val="center"/>
        <w:rPr>
          <w:sz w:val="48"/>
          <w:szCs w:val="44"/>
        </w:rPr>
      </w:pPr>
      <w:bookmarkStart w:id="2" w:name="_Toc12151"/>
      <w:r>
        <w:rPr>
          <w:sz w:val="48"/>
          <w:szCs w:val="44"/>
        </w:rPr>
        <w:t>广东省高品质建筑室内环境技术标准</w:t>
      </w:r>
      <w:bookmarkEnd w:id="2"/>
    </w:p>
    <w:p w14:paraId="45CD9562">
      <w:pPr>
        <w:autoSpaceDE w:val="0"/>
        <w:autoSpaceDN w:val="0"/>
        <w:adjustRightInd w:val="0"/>
        <w:spacing w:before="120" w:after="120" w:line="312" w:lineRule="auto"/>
        <w:ind w:firstLine="681"/>
        <w:jc w:val="center"/>
        <w:rPr>
          <w:w w:val="95"/>
          <w:sz w:val="36"/>
          <w:szCs w:val="36"/>
        </w:rPr>
      </w:pPr>
      <w:r>
        <w:rPr>
          <w:w w:val="95"/>
          <w:sz w:val="36"/>
          <w:szCs w:val="36"/>
        </w:rPr>
        <w:t>Technical Standard for Indoor Environment of High-quality Building in Guangdong Province</w:t>
      </w:r>
    </w:p>
    <w:p w14:paraId="7AE89C93">
      <w:pPr>
        <w:spacing w:before="120" w:after="120" w:line="312" w:lineRule="auto"/>
        <w:jc w:val="center"/>
        <w:rPr>
          <w:b/>
          <w:bCs/>
          <w:sz w:val="52"/>
          <w:szCs w:val="52"/>
        </w:rPr>
      </w:pPr>
      <w:r>
        <w:rPr>
          <w:b/>
          <w:bCs/>
          <w:sz w:val="28"/>
          <w:szCs w:val="28"/>
        </w:rPr>
        <w:t>XXX－20××</w:t>
      </w:r>
    </w:p>
    <w:p w14:paraId="48CBBAA6">
      <w:pPr>
        <w:autoSpaceDE w:val="0"/>
        <w:autoSpaceDN w:val="0"/>
        <w:adjustRightInd w:val="0"/>
        <w:spacing w:before="120" w:after="120" w:line="312" w:lineRule="auto"/>
        <w:ind w:firstLine="1296" w:firstLineChars="405"/>
        <w:jc w:val="left"/>
        <w:rPr>
          <w:b/>
          <w:bCs/>
          <w:sz w:val="32"/>
          <w:szCs w:val="32"/>
        </w:rPr>
      </w:pPr>
    </w:p>
    <w:p w14:paraId="4AC446E6">
      <w:pPr>
        <w:spacing w:before="120" w:after="120" w:line="312" w:lineRule="auto"/>
        <w:jc w:val="center"/>
        <w:rPr>
          <w:sz w:val="28"/>
          <w:szCs w:val="24"/>
        </w:rPr>
      </w:pPr>
      <w:r>
        <w:rPr>
          <w:kern w:val="0"/>
          <w:sz w:val="28"/>
          <w:szCs w:val="28"/>
        </w:rPr>
        <w:t>主编单位：</w:t>
      </w:r>
      <w:bookmarkStart w:id="3" w:name="_Toc21958"/>
      <w:r>
        <w:rPr>
          <w:sz w:val="28"/>
          <w:szCs w:val="24"/>
        </w:rPr>
        <w:t>深圳市建筑设计研究总院有限公司</w:t>
      </w:r>
      <w:bookmarkEnd w:id="3"/>
    </w:p>
    <w:p w14:paraId="66E0C22A">
      <w:pPr>
        <w:spacing w:before="120" w:after="120" w:line="312" w:lineRule="auto"/>
        <w:ind w:firstLine="2240" w:firstLineChars="800"/>
        <w:jc w:val="left"/>
        <w:rPr>
          <w:sz w:val="28"/>
          <w:szCs w:val="24"/>
        </w:rPr>
      </w:pPr>
      <w:r>
        <w:rPr>
          <w:kern w:val="0"/>
          <w:sz w:val="28"/>
          <w:szCs w:val="28"/>
        </w:rPr>
        <w:t>广东省建筑科学研究院集团股份有限公司</w:t>
      </w:r>
    </w:p>
    <w:p w14:paraId="5785B294">
      <w:pPr>
        <w:spacing w:before="120" w:after="120" w:line="312" w:lineRule="auto"/>
        <w:jc w:val="center"/>
        <w:rPr>
          <w:kern w:val="0"/>
          <w:sz w:val="28"/>
          <w:szCs w:val="28"/>
        </w:rPr>
      </w:pPr>
      <w:r>
        <w:rPr>
          <w:kern w:val="0"/>
          <w:sz w:val="28"/>
          <w:szCs w:val="28"/>
        </w:rPr>
        <w:t>批准部门：广东建设科技与标准化协会</w:t>
      </w:r>
    </w:p>
    <w:p w14:paraId="3F20B221">
      <w:pPr>
        <w:spacing w:before="120" w:after="120" w:line="312" w:lineRule="auto"/>
        <w:jc w:val="center"/>
        <w:rPr>
          <w:b/>
          <w:bCs/>
          <w:sz w:val="40"/>
          <w:szCs w:val="40"/>
        </w:rPr>
      </w:pPr>
      <w:r>
        <w:rPr>
          <w:kern w:val="0"/>
          <w:sz w:val="28"/>
          <w:szCs w:val="28"/>
        </w:rPr>
        <w:t>实施日期：20××年××月××日</w:t>
      </w:r>
    </w:p>
    <w:p w14:paraId="645E7813">
      <w:pPr>
        <w:autoSpaceDE w:val="0"/>
        <w:autoSpaceDN w:val="0"/>
        <w:adjustRightInd w:val="0"/>
        <w:spacing w:before="120" w:after="120" w:line="312" w:lineRule="auto"/>
        <w:jc w:val="center"/>
        <w:rPr>
          <w:bCs/>
          <w:sz w:val="28"/>
          <w:szCs w:val="28"/>
          <w:lang w:val="zh-CN"/>
        </w:rPr>
      </w:pPr>
      <w:bookmarkStart w:id="4" w:name="_Toc25831"/>
      <w:bookmarkStart w:id="5" w:name="_Toc32274"/>
      <w:bookmarkStart w:id="6" w:name="_Toc25552"/>
      <w:bookmarkStart w:id="7" w:name="_Toc15746"/>
      <w:bookmarkStart w:id="8" w:name="_Toc31909"/>
      <w:bookmarkStart w:id="9" w:name="_Toc8029"/>
      <w:bookmarkStart w:id="10" w:name="_Toc21796"/>
      <w:bookmarkStart w:id="11" w:name="_Toc201158876"/>
      <w:r>
        <w:rPr>
          <w:b/>
          <w:bCs/>
          <w:sz w:val="28"/>
          <w:szCs w:val="28"/>
          <w:lang w:val="zh-CN"/>
        </w:rPr>
        <w:t>20××  广州</w:t>
      </w:r>
      <w:bookmarkEnd w:id="4"/>
      <w:bookmarkEnd w:id="5"/>
      <w:bookmarkEnd w:id="6"/>
      <w:bookmarkEnd w:id="7"/>
      <w:bookmarkEnd w:id="8"/>
      <w:bookmarkEnd w:id="9"/>
      <w:bookmarkEnd w:id="10"/>
      <w:bookmarkEnd w:id="11"/>
    </w:p>
    <w:p w14:paraId="173153CF">
      <w:pPr>
        <w:spacing w:before="120" w:after="120" w:line="312" w:lineRule="auto"/>
        <w:jc w:val="center"/>
        <w:sectPr>
          <w:headerReference r:id="rId6" w:type="first"/>
          <w:footerReference r:id="rId9" w:type="first"/>
          <w:headerReference r:id="rId4" w:type="default"/>
          <w:footerReference r:id="rId7" w:type="default"/>
          <w:headerReference r:id="rId5" w:type="even"/>
          <w:footerReference r:id="rId8" w:type="even"/>
          <w:pgSz w:w="11906" w:h="16838"/>
          <w:pgMar w:top="1440" w:right="1797" w:bottom="1440" w:left="1797" w:header="851" w:footer="992" w:gutter="0"/>
          <w:pgNumType w:start="1"/>
          <w:cols w:space="425" w:num="1"/>
          <w:docGrid w:type="linesAndChars" w:linePitch="312" w:charSpace="0"/>
        </w:sectPr>
      </w:pPr>
    </w:p>
    <w:p w14:paraId="5A68FD0C">
      <w:pPr>
        <w:spacing w:before="120" w:after="120" w:line="312" w:lineRule="auto"/>
        <w:jc w:val="center"/>
        <w:outlineLvl w:val="0"/>
        <w:rPr>
          <w:b/>
          <w:bCs/>
          <w:sz w:val="28"/>
          <w:szCs w:val="28"/>
        </w:rPr>
      </w:pPr>
      <w:bookmarkStart w:id="12" w:name="_Toc28482"/>
      <w:bookmarkStart w:id="13" w:name="_Toc21651"/>
      <w:bookmarkStart w:id="14" w:name="_Toc17402"/>
      <w:bookmarkStart w:id="15" w:name="_Toc5775"/>
      <w:bookmarkStart w:id="16" w:name="_Toc20903"/>
      <w:bookmarkStart w:id="17" w:name="_Toc10197"/>
      <w:bookmarkStart w:id="18" w:name="_Toc12263"/>
      <w:bookmarkStart w:id="19" w:name="_Toc25658"/>
      <w:bookmarkStart w:id="20" w:name="_Toc23004"/>
      <w:bookmarkStart w:id="21" w:name="_Toc4148"/>
      <w:bookmarkStart w:id="22" w:name="_Toc201158877"/>
      <w:r>
        <w:rPr>
          <w:b/>
          <w:bCs/>
          <w:sz w:val="28"/>
          <w:szCs w:val="28"/>
        </w:rPr>
        <w:t>前  言</w:t>
      </w:r>
      <w:bookmarkEnd w:id="12"/>
      <w:bookmarkEnd w:id="13"/>
      <w:bookmarkEnd w:id="14"/>
      <w:bookmarkEnd w:id="15"/>
      <w:bookmarkEnd w:id="16"/>
      <w:bookmarkEnd w:id="17"/>
      <w:bookmarkEnd w:id="18"/>
      <w:bookmarkEnd w:id="19"/>
      <w:bookmarkEnd w:id="20"/>
      <w:bookmarkEnd w:id="21"/>
      <w:bookmarkEnd w:id="22"/>
    </w:p>
    <w:p w14:paraId="08C08ED4">
      <w:pPr>
        <w:pStyle w:val="22"/>
        <w:spacing w:before="120" w:after="120" w:line="312" w:lineRule="auto"/>
        <w:ind w:firstLine="480" w:firstLineChars="200"/>
        <w:jc w:val="left"/>
        <w:rPr>
          <w:kern w:val="0"/>
          <w:sz w:val="24"/>
          <w:szCs w:val="24"/>
        </w:rPr>
      </w:pPr>
      <w:r>
        <w:rPr>
          <w:kern w:val="0"/>
          <w:sz w:val="24"/>
          <w:szCs w:val="24"/>
        </w:rPr>
        <w:t>根据广东省建设科技与标准化协会《关于同意&lt;广东省高品质建筑室内环境技术标准&gt;团体标准立项的公告》（省建标立项函【2023】017）的要求，标准编制组经广泛调查研究，认真总结实践经验，参考国内和国外先进标准，并在广泛征求意见的基础上，制定了本标准。</w:t>
      </w:r>
    </w:p>
    <w:p w14:paraId="5E3409D8">
      <w:pPr>
        <w:pStyle w:val="22"/>
        <w:tabs>
          <w:tab w:val="clear" w:pos="4153"/>
          <w:tab w:val="clear" w:pos="8306"/>
        </w:tabs>
        <w:snapToGrid/>
        <w:spacing w:before="120" w:after="120" w:line="312" w:lineRule="auto"/>
        <w:ind w:firstLine="480" w:firstLineChars="200"/>
        <w:jc w:val="left"/>
        <w:rPr>
          <w:kern w:val="0"/>
          <w:sz w:val="24"/>
          <w:szCs w:val="24"/>
        </w:rPr>
      </w:pPr>
      <w:r>
        <w:rPr>
          <w:kern w:val="0"/>
          <w:sz w:val="24"/>
          <w:szCs w:val="24"/>
        </w:rPr>
        <w:t>本标准的主要技术内容是：1.总则；2.术语；3.基本规定；4.环境指标；5.技术措施；6. 运行维护。</w:t>
      </w:r>
    </w:p>
    <w:p w14:paraId="0D6A9178">
      <w:pPr>
        <w:pStyle w:val="22"/>
        <w:tabs>
          <w:tab w:val="clear" w:pos="4153"/>
          <w:tab w:val="clear" w:pos="8306"/>
        </w:tabs>
        <w:snapToGrid/>
        <w:spacing w:before="120" w:after="120" w:line="312" w:lineRule="auto"/>
        <w:ind w:firstLine="480" w:firstLineChars="200"/>
        <w:jc w:val="left"/>
        <w:rPr>
          <w:kern w:val="0"/>
          <w:sz w:val="24"/>
          <w:szCs w:val="24"/>
        </w:rPr>
      </w:pPr>
      <w:r>
        <w:rPr>
          <w:kern w:val="0"/>
          <w:sz w:val="24"/>
          <w:szCs w:val="24"/>
        </w:rPr>
        <w:t>本标准由深圳市建筑设计研究总院有限公司、广东省建筑科学研究院集团股份有限公司负责日常管理和具体技术内容的解释。执行过程中如有意见或建议，请寄送广东省建筑科学研究院集团股份有限公司（地址：广州市先烈东路121号，邮政编码：510500）。</w:t>
      </w:r>
    </w:p>
    <w:p w14:paraId="4C5B4E95">
      <w:pPr>
        <w:spacing w:before="120" w:after="120" w:line="312" w:lineRule="auto"/>
        <w:ind w:firstLine="482"/>
      </w:pPr>
      <w:r>
        <w:rPr>
          <w:b/>
          <w:bCs/>
        </w:rPr>
        <w:t>本标准主制单位：</w:t>
      </w:r>
      <w:r>
        <w:t>深圳市建筑设计研究总院有限公司</w:t>
      </w:r>
      <w:bookmarkStart w:id="391" w:name="_GoBack"/>
      <w:bookmarkEnd w:id="391"/>
    </w:p>
    <w:p w14:paraId="65E2877D">
      <w:pPr>
        <w:spacing w:before="120" w:after="120" w:line="312" w:lineRule="auto"/>
        <w:ind w:firstLine="2158"/>
      </w:pPr>
      <w:r>
        <w:t>广东省建筑科学研究院集团股份有限公司</w:t>
      </w:r>
    </w:p>
    <w:p w14:paraId="3E74ACB0">
      <w:pPr>
        <w:spacing w:before="120" w:after="120" w:line="312" w:lineRule="auto"/>
        <w:ind w:firstLine="482"/>
        <w:rPr>
          <w:b/>
          <w:bCs/>
        </w:rPr>
      </w:pPr>
      <w:r>
        <w:rPr>
          <w:b/>
          <w:bCs/>
        </w:rPr>
        <w:t>本标准参编单位：</w:t>
      </w:r>
      <w:r>
        <w:t>广东建科节能环保科技有限公司</w:t>
      </w:r>
    </w:p>
    <w:p w14:paraId="1D11B375">
      <w:pPr>
        <w:spacing w:before="120" w:after="120" w:line="312" w:lineRule="auto"/>
        <w:ind w:firstLine="2158"/>
      </w:pPr>
      <w:r>
        <w:t>华南理工大学建筑设计研究院有限公司</w:t>
      </w:r>
    </w:p>
    <w:p w14:paraId="4B1E48F9">
      <w:pPr>
        <w:spacing w:before="120" w:after="120" w:line="312" w:lineRule="auto"/>
        <w:ind w:firstLine="2158"/>
      </w:pPr>
      <w:r>
        <w:t>广东省建筑设计研究院有限公司</w:t>
      </w:r>
    </w:p>
    <w:p w14:paraId="63E25E82">
      <w:pPr>
        <w:spacing w:before="120" w:after="120" w:line="312" w:lineRule="auto"/>
        <w:ind w:firstLine="2158"/>
      </w:pPr>
      <w:r>
        <w:t>深圳大学</w:t>
      </w:r>
    </w:p>
    <w:p w14:paraId="7E508A33">
      <w:pPr>
        <w:spacing w:before="120" w:after="120" w:line="312" w:lineRule="auto"/>
        <w:ind w:firstLine="2158"/>
      </w:pPr>
      <w:r>
        <w:t>广州美术学院建筑艺术设计学院</w:t>
      </w:r>
    </w:p>
    <w:p w14:paraId="72D2B2B9">
      <w:pPr>
        <w:spacing w:before="120" w:after="120" w:line="312" w:lineRule="auto"/>
        <w:ind w:firstLine="2158"/>
      </w:pPr>
      <w:r>
        <w:t>广东工业大学</w:t>
      </w:r>
    </w:p>
    <w:p w14:paraId="181F4823">
      <w:pPr>
        <w:spacing w:before="120" w:after="120" w:line="312" w:lineRule="auto"/>
        <w:ind w:firstLine="2158"/>
      </w:pPr>
      <w:r>
        <w:t>广东省集美设计工程有限公司</w:t>
      </w:r>
    </w:p>
    <w:p w14:paraId="031F33F8">
      <w:pPr>
        <w:spacing w:before="120" w:after="120" w:line="312" w:lineRule="auto"/>
        <w:ind w:firstLine="2158"/>
      </w:pPr>
      <w:r>
        <w:t>广州市重点公共建设项目管理中心</w:t>
      </w:r>
    </w:p>
    <w:p w14:paraId="5F196EFC">
      <w:pPr>
        <w:spacing w:before="120" w:after="120" w:line="312" w:lineRule="auto"/>
        <w:ind w:firstLine="2158"/>
      </w:pPr>
      <w:r>
        <w:t>广州市南沙区建设中心</w:t>
      </w:r>
    </w:p>
    <w:p w14:paraId="6DC394BC">
      <w:pPr>
        <w:spacing w:before="120" w:after="120" w:line="312" w:lineRule="auto"/>
        <w:ind w:firstLine="2158"/>
      </w:pPr>
      <w:r>
        <w:t>广州市南沙新区明珠湾开发建设管理局</w:t>
      </w:r>
    </w:p>
    <w:p w14:paraId="032DE351">
      <w:pPr>
        <w:spacing w:before="120" w:after="120" w:line="312" w:lineRule="auto"/>
        <w:ind w:firstLine="2158"/>
      </w:pPr>
      <w:r>
        <w:t>中国建筑西南设计研究院有限公司</w:t>
      </w:r>
    </w:p>
    <w:p w14:paraId="12764703">
      <w:pPr>
        <w:spacing w:before="120" w:after="120" w:line="312" w:lineRule="auto"/>
        <w:ind w:firstLine="2158"/>
      </w:pPr>
      <w:r>
        <w:t>广东省建设工程绿色与装配式发展协会</w:t>
      </w:r>
    </w:p>
    <w:p w14:paraId="5E8EF47D">
      <w:pPr>
        <w:spacing w:before="120" w:after="120" w:line="312" w:lineRule="auto"/>
        <w:ind w:firstLine="2158"/>
      </w:pPr>
      <w:r>
        <w:t>深圳市微空间建筑科技有限公司</w:t>
      </w:r>
    </w:p>
    <w:p w14:paraId="2D464B4F">
      <w:pPr>
        <w:spacing w:before="120" w:after="120" w:line="312" w:lineRule="auto"/>
        <w:ind w:firstLine="2158"/>
      </w:pPr>
      <w:r>
        <w:t>广州市南沙新区产业园区开发建设管理局</w:t>
      </w:r>
    </w:p>
    <w:p w14:paraId="7CC3DEC0">
      <w:pPr>
        <w:spacing w:before="120" w:after="120" w:line="312" w:lineRule="auto"/>
        <w:ind w:firstLine="2158"/>
      </w:pPr>
      <w:r>
        <w:t xml:space="preserve">广州利升新型建材科技有限公司 </w:t>
      </w:r>
    </w:p>
    <w:p w14:paraId="01456FC7">
      <w:pPr>
        <w:spacing w:before="120" w:after="120" w:line="312" w:lineRule="auto"/>
        <w:ind w:firstLine="482"/>
        <w:rPr>
          <w:b/>
          <w:bCs/>
          <w:szCs w:val="21"/>
        </w:rPr>
      </w:pPr>
      <w:r>
        <w:rPr>
          <w:b/>
          <w:bCs/>
        </w:rPr>
        <w:t xml:space="preserve"> </w:t>
      </w:r>
    </w:p>
    <w:p w14:paraId="479F8FC9">
      <w:pPr>
        <w:spacing w:before="120" w:after="120" w:line="312" w:lineRule="auto"/>
        <w:ind w:firstLine="482"/>
      </w:pPr>
      <w:r>
        <w:rPr>
          <w:b/>
          <w:bCs/>
        </w:rPr>
        <w:t>本标准主要起草人员：</w:t>
      </w:r>
      <w:r>
        <w:rPr>
          <w:rFonts w:hint="eastAsia"/>
        </w:rPr>
        <w:t xml:space="preserve"> </w:t>
      </w:r>
    </w:p>
    <w:p w14:paraId="4F5BFF44">
      <w:pPr>
        <w:widowControl/>
        <w:spacing w:before="120" w:after="120" w:line="312" w:lineRule="auto"/>
        <w:ind w:firstLine="482"/>
        <w:rPr>
          <w:b/>
          <w:bCs/>
          <w:kern w:val="0"/>
        </w:rPr>
      </w:pPr>
      <w:r>
        <w:rPr>
          <w:b/>
          <w:bCs/>
          <w:kern w:val="0"/>
        </w:rPr>
        <w:t>本标准主要审查人员：</w:t>
      </w:r>
      <w:r>
        <w:rPr>
          <w:kern w:val="0"/>
        </w:rPr>
        <w:t xml:space="preserve">  </w:t>
      </w:r>
    </w:p>
    <w:p w14:paraId="175CA71A">
      <w:pPr>
        <w:widowControl/>
        <w:spacing w:before="120" w:after="120" w:line="312" w:lineRule="auto"/>
        <w:ind w:firstLine="602"/>
        <w:jc w:val="center"/>
        <w:rPr>
          <w:b/>
          <w:bCs/>
          <w:kern w:val="0"/>
          <w:sz w:val="30"/>
        </w:rPr>
      </w:pPr>
      <w:r>
        <w:rPr>
          <w:b/>
          <w:bCs/>
          <w:kern w:val="0"/>
          <w:sz w:val="30"/>
        </w:rPr>
        <w:br w:type="page"/>
      </w:r>
    </w:p>
    <w:p w14:paraId="58834A4A">
      <w:pPr>
        <w:spacing w:before="120" w:after="120" w:line="312" w:lineRule="auto"/>
        <w:jc w:val="center"/>
        <w:outlineLvl w:val="0"/>
        <w:rPr>
          <w:b/>
          <w:bCs/>
          <w:sz w:val="32"/>
          <w:szCs w:val="32"/>
        </w:rPr>
      </w:pPr>
      <w:bookmarkStart w:id="23" w:name="_Toc5825"/>
      <w:bookmarkStart w:id="24" w:name="_Toc16857"/>
      <w:bookmarkStart w:id="25" w:name="_Toc201158878"/>
      <w:bookmarkStart w:id="26" w:name="_Toc32052"/>
      <w:bookmarkStart w:id="27" w:name="_Toc11852"/>
      <w:bookmarkStart w:id="28" w:name="_Toc28268"/>
      <w:bookmarkStart w:id="29" w:name="_Toc26288"/>
      <w:bookmarkStart w:id="30" w:name="_Toc17744"/>
      <w:bookmarkStart w:id="31" w:name="_Toc22268"/>
      <w:bookmarkStart w:id="32" w:name="_Toc9468"/>
      <w:r>
        <w:rPr>
          <w:rFonts w:hint="eastAsia"/>
          <w:b/>
          <w:bCs/>
          <w:sz w:val="32"/>
          <w:szCs w:val="32"/>
        </w:rPr>
        <w:t>目</w:t>
      </w:r>
      <w:bookmarkEnd w:id="23"/>
      <w:bookmarkEnd w:id="24"/>
      <w:bookmarkEnd w:id="25"/>
      <w:bookmarkEnd w:id="26"/>
      <w:bookmarkEnd w:id="27"/>
      <w:r>
        <w:rPr>
          <w:rFonts w:hint="eastAsia"/>
          <w:b/>
          <w:bCs/>
          <w:sz w:val="32"/>
          <w:szCs w:val="32"/>
        </w:rPr>
        <w:t>次</w:t>
      </w:r>
      <w:bookmarkEnd w:id="28"/>
      <w:bookmarkEnd w:id="29"/>
      <w:bookmarkEnd w:id="30"/>
      <w:bookmarkEnd w:id="31"/>
      <w:bookmarkEnd w:id="32"/>
    </w:p>
    <w:p w14:paraId="2CEC334F">
      <w:pPr>
        <w:pStyle w:val="6"/>
        <w:tabs>
          <w:tab w:val="right" w:leader="dot" w:pos="8306"/>
        </w:tabs>
      </w:pPr>
      <w:r>
        <w:rPr>
          <w:sz w:val="28"/>
          <w:szCs w:val="28"/>
        </w:rPr>
        <w:fldChar w:fldCharType="begin"/>
      </w:r>
      <w:r>
        <w:rPr>
          <w:sz w:val="28"/>
          <w:szCs w:val="28"/>
        </w:rPr>
        <w:instrText xml:space="preserve">TOC \o "1-3" \h \u </w:instrText>
      </w:r>
      <w:r>
        <w:rPr>
          <w:sz w:val="28"/>
          <w:szCs w:val="28"/>
        </w:rPr>
        <w:fldChar w:fldCharType="separate"/>
      </w:r>
      <w:r>
        <w:fldChar w:fldCharType="begin"/>
      </w:r>
      <w:r>
        <w:instrText xml:space="preserve"> HYPERLINK \l "_Toc17402" </w:instrText>
      </w:r>
      <w:r>
        <w:fldChar w:fldCharType="separate"/>
      </w:r>
      <w:r>
        <w:rPr>
          <w:bCs/>
          <w:szCs w:val="28"/>
        </w:rPr>
        <w:t>前  言</w:t>
      </w:r>
      <w:r>
        <w:tab/>
      </w:r>
      <w:r>
        <w:fldChar w:fldCharType="begin"/>
      </w:r>
      <w:r>
        <w:instrText xml:space="preserve"> PAGEREF _Toc17402 \h </w:instrText>
      </w:r>
      <w:r>
        <w:fldChar w:fldCharType="separate"/>
      </w:r>
      <w:r>
        <w:t>3</w:t>
      </w:r>
      <w:r>
        <w:fldChar w:fldCharType="end"/>
      </w:r>
      <w:r>
        <w:fldChar w:fldCharType="end"/>
      </w:r>
    </w:p>
    <w:p w14:paraId="7C792F98">
      <w:pPr>
        <w:pStyle w:val="6"/>
        <w:tabs>
          <w:tab w:val="right" w:leader="dot" w:pos="8306"/>
        </w:tabs>
      </w:pPr>
      <w:r>
        <w:fldChar w:fldCharType="begin"/>
      </w:r>
      <w:r>
        <w:instrText xml:space="preserve"> HYPERLINK \l "_Toc22268" </w:instrText>
      </w:r>
      <w:r>
        <w:fldChar w:fldCharType="separate"/>
      </w:r>
      <w:r>
        <w:rPr>
          <w:rFonts w:hint="eastAsia"/>
          <w:bCs/>
          <w:szCs w:val="32"/>
        </w:rPr>
        <w:t>目次</w:t>
      </w:r>
      <w:r>
        <w:tab/>
      </w:r>
      <w:r>
        <w:fldChar w:fldCharType="begin"/>
      </w:r>
      <w:r>
        <w:instrText xml:space="preserve"> PAGEREF _Toc22268 \h </w:instrText>
      </w:r>
      <w:r>
        <w:fldChar w:fldCharType="separate"/>
      </w:r>
      <w:r>
        <w:t>5</w:t>
      </w:r>
      <w:r>
        <w:fldChar w:fldCharType="end"/>
      </w:r>
      <w:r>
        <w:fldChar w:fldCharType="end"/>
      </w:r>
    </w:p>
    <w:p w14:paraId="5023C883">
      <w:pPr>
        <w:pStyle w:val="6"/>
        <w:tabs>
          <w:tab w:val="right" w:leader="dot" w:pos="8306"/>
        </w:tabs>
      </w:pPr>
      <w:r>
        <w:fldChar w:fldCharType="begin"/>
      </w:r>
      <w:r>
        <w:instrText xml:space="preserve"> HYPERLINK \l "_Toc18099" </w:instrText>
      </w:r>
      <w:r>
        <w:fldChar w:fldCharType="separate"/>
      </w:r>
      <w:r>
        <w:rPr>
          <w:bCs/>
          <w:szCs w:val="28"/>
        </w:rPr>
        <w:t>1 总则</w:t>
      </w:r>
      <w:r>
        <w:tab/>
      </w:r>
      <w:r>
        <w:fldChar w:fldCharType="begin"/>
      </w:r>
      <w:r>
        <w:instrText xml:space="preserve"> PAGEREF _Toc18099 \h </w:instrText>
      </w:r>
      <w:r>
        <w:fldChar w:fldCharType="separate"/>
      </w:r>
      <w:r>
        <w:t>6</w:t>
      </w:r>
      <w:r>
        <w:fldChar w:fldCharType="end"/>
      </w:r>
      <w:r>
        <w:fldChar w:fldCharType="end"/>
      </w:r>
    </w:p>
    <w:p w14:paraId="07D031D2">
      <w:pPr>
        <w:pStyle w:val="6"/>
        <w:tabs>
          <w:tab w:val="right" w:leader="dot" w:pos="8306"/>
        </w:tabs>
      </w:pPr>
      <w:r>
        <w:fldChar w:fldCharType="begin"/>
      </w:r>
      <w:r>
        <w:instrText xml:space="preserve"> HYPERLINK \l "_Toc4615" </w:instrText>
      </w:r>
      <w:r>
        <w:fldChar w:fldCharType="separate"/>
      </w:r>
      <w:r>
        <w:rPr>
          <w:bCs/>
          <w:szCs w:val="28"/>
        </w:rPr>
        <w:t>2 术语</w:t>
      </w:r>
      <w:r>
        <w:tab/>
      </w:r>
      <w:r>
        <w:fldChar w:fldCharType="begin"/>
      </w:r>
      <w:r>
        <w:instrText xml:space="preserve"> PAGEREF _Toc4615 \h </w:instrText>
      </w:r>
      <w:r>
        <w:fldChar w:fldCharType="separate"/>
      </w:r>
      <w:r>
        <w:t>7</w:t>
      </w:r>
      <w:r>
        <w:fldChar w:fldCharType="end"/>
      </w:r>
      <w:r>
        <w:fldChar w:fldCharType="end"/>
      </w:r>
    </w:p>
    <w:p w14:paraId="5913EBCD">
      <w:pPr>
        <w:pStyle w:val="6"/>
        <w:tabs>
          <w:tab w:val="right" w:leader="dot" w:pos="8306"/>
        </w:tabs>
      </w:pPr>
      <w:r>
        <w:fldChar w:fldCharType="begin"/>
      </w:r>
      <w:r>
        <w:instrText xml:space="preserve"> HYPERLINK \l "_Toc25234" </w:instrText>
      </w:r>
      <w:r>
        <w:fldChar w:fldCharType="separate"/>
      </w:r>
      <w:r>
        <w:rPr>
          <w:bCs/>
          <w:szCs w:val="28"/>
        </w:rPr>
        <w:t>3 基本规定</w:t>
      </w:r>
      <w:r>
        <w:tab/>
      </w:r>
      <w:r>
        <w:fldChar w:fldCharType="begin"/>
      </w:r>
      <w:r>
        <w:instrText xml:space="preserve"> PAGEREF _Toc25234 \h </w:instrText>
      </w:r>
      <w:r>
        <w:fldChar w:fldCharType="separate"/>
      </w:r>
      <w:r>
        <w:t>8</w:t>
      </w:r>
      <w:r>
        <w:fldChar w:fldCharType="end"/>
      </w:r>
      <w:r>
        <w:fldChar w:fldCharType="end"/>
      </w:r>
    </w:p>
    <w:p w14:paraId="6C49FF3F">
      <w:pPr>
        <w:pStyle w:val="6"/>
        <w:tabs>
          <w:tab w:val="right" w:leader="dot" w:pos="8306"/>
        </w:tabs>
      </w:pPr>
      <w:r>
        <w:fldChar w:fldCharType="begin"/>
      </w:r>
      <w:r>
        <w:instrText xml:space="preserve"> HYPERLINK \l "_Toc4999" </w:instrText>
      </w:r>
      <w:r>
        <w:fldChar w:fldCharType="separate"/>
      </w:r>
      <w:r>
        <w:rPr>
          <w:bCs/>
          <w:szCs w:val="28"/>
        </w:rPr>
        <w:t>4 环境指标</w:t>
      </w:r>
      <w:r>
        <w:tab/>
      </w:r>
      <w:r>
        <w:fldChar w:fldCharType="begin"/>
      </w:r>
      <w:r>
        <w:instrText xml:space="preserve"> PAGEREF _Toc4999 \h </w:instrText>
      </w:r>
      <w:r>
        <w:fldChar w:fldCharType="separate"/>
      </w:r>
      <w:r>
        <w:t>10</w:t>
      </w:r>
      <w:r>
        <w:fldChar w:fldCharType="end"/>
      </w:r>
      <w:r>
        <w:fldChar w:fldCharType="end"/>
      </w:r>
    </w:p>
    <w:p w14:paraId="6DD203AD">
      <w:pPr>
        <w:pStyle w:val="8"/>
        <w:tabs>
          <w:tab w:val="right" w:leader="dot" w:pos="8306"/>
        </w:tabs>
      </w:pPr>
      <w:r>
        <w:fldChar w:fldCharType="begin"/>
      </w:r>
      <w:r>
        <w:instrText xml:space="preserve"> HYPERLINK \l "_Toc10841" </w:instrText>
      </w:r>
      <w:r>
        <w:fldChar w:fldCharType="separate"/>
      </w:r>
      <w:r>
        <w:rPr>
          <w:bCs/>
          <w:szCs w:val="24"/>
        </w:rPr>
        <w:t>4.1 一般规定</w:t>
      </w:r>
      <w:r>
        <w:tab/>
      </w:r>
      <w:r>
        <w:fldChar w:fldCharType="begin"/>
      </w:r>
      <w:r>
        <w:instrText xml:space="preserve"> PAGEREF _Toc10841 \h </w:instrText>
      </w:r>
      <w:r>
        <w:fldChar w:fldCharType="separate"/>
      </w:r>
      <w:r>
        <w:t>10</w:t>
      </w:r>
      <w:r>
        <w:fldChar w:fldCharType="end"/>
      </w:r>
      <w:r>
        <w:fldChar w:fldCharType="end"/>
      </w:r>
    </w:p>
    <w:p w14:paraId="2CE4045A">
      <w:pPr>
        <w:pStyle w:val="8"/>
        <w:tabs>
          <w:tab w:val="right" w:leader="dot" w:pos="8306"/>
        </w:tabs>
      </w:pPr>
      <w:r>
        <w:fldChar w:fldCharType="begin"/>
      </w:r>
      <w:r>
        <w:instrText xml:space="preserve"> HYPERLINK \l "_Toc29829" </w:instrText>
      </w:r>
      <w:r>
        <w:fldChar w:fldCharType="separate"/>
      </w:r>
      <w:r>
        <w:rPr>
          <w:bCs/>
          <w:szCs w:val="24"/>
        </w:rPr>
        <w:t>4.2 物理环境</w:t>
      </w:r>
      <w:r>
        <w:tab/>
      </w:r>
      <w:r>
        <w:fldChar w:fldCharType="begin"/>
      </w:r>
      <w:r>
        <w:instrText xml:space="preserve"> PAGEREF _Toc29829 \h </w:instrText>
      </w:r>
      <w:r>
        <w:fldChar w:fldCharType="separate"/>
      </w:r>
      <w:r>
        <w:t>10</w:t>
      </w:r>
      <w:r>
        <w:fldChar w:fldCharType="end"/>
      </w:r>
      <w:r>
        <w:fldChar w:fldCharType="end"/>
      </w:r>
    </w:p>
    <w:p w14:paraId="4287B7F4">
      <w:pPr>
        <w:pStyle w:val="8"/>
        <w:tabs>
          <w:tab w:val="right" w:leader="dot" w:pos="8306"/>
        </w:tabs>
      </w:pPr>
      <w:r>
        <w:fldChar w:fldCharType="begin"/>
      </w:r>
      <w:r>
        <w:instrText xml:space="preserve"> HYPERLINK \l "_Toc1800" </w:instrText>
      </w:r>
      <w:r>
        <w:fldChar w:fldCharType="separate"/>
      </w:r>
      <w:r>
        <w:rPr>
          <w:bCs/>
          <w:szCs w:val="24"/>
        </w:rPr>
        <w:t>4.3 化学环境</w:t>
      </w:r>
      <w:r>
        <w:tab/>
      </w:r>
      <w:r>
        <w:fldChar w:fldCharType="begin"/>
      </w:r>
      <w:r>
        <w:instrText xml:space="preserve"> PAGEREF _Toc1800 \h </w:instrText>
      </w:r>
      <w:r>
        <w:fldChar w:fldCharType="separate"/>
      </w:r>
      <w:r>
        <w:t>17</w:t>
      </w:r>
      <w:r>
        <w:fldChar w:fldCharType="end"/>
      </w:r>
      <w:r>
        <w:fldChar w:fldCharType="end"/>
      </w:r>
    </w:p>
    <w:p w14:paraId="6BA8DB83">
      <w:pPr>
        <w:pStyle w:val="8"/>
        <w:tabs>
          <w:tab w:val="right" w:leader="dot" w:pos="8306"/>
        </w:tabs>
      </w:pPr>
      <w:r>
        <w:fldChar w:fldCharType="begin"/>
      </w:r>
      <w:r>
        <w:instrText xml:space="preserve"> HYPERLINK \l "_Toc26007" </w:instrText>
      </w:r>
      <w:r>
        <w:fldChar w:fldCharType="separate"/>
      </w:r>
      <w:r>
        <w:rPr>
          <w:bCs/>
          <w:szCs w:val="24"/>
        </w:rPr>
        <w:t>4.4 生物环境</w:t>
      </w:r>
      <w:r>
        <w:tab/>
      </w:r>
      <w:r>
        <w:fldChar w:fldCharType="begin"/>
      </w:r>
      <w:r>
        <w:instrText xml:space="preserve"> PAGEREF _Toc26007 \h </w:instrText>
      </w:r>
      <w:r>
        <w:fldChar w:fldCharType="separate"/>
      </w:r>
      <w:r>
        <w:t>17</w:t>
      </w:r>
      <w:r>
        <w:fldChar w:fldCharType="end"/>
      </w:r>
      <w:r>
        <w:fldChar w:fldCharType="end"/>
      </w:r>
    </w:p>
    <w:p w14:paraId="47FA228E">
      <w:pPr>
        <w:pStyle w:val="8"/>
        <w:tabs>
          <w:tab w:val="right" w:leader="dot" w:pos="8306"/>
        </w:tabs>
      </w:pPr>
      <w:r>
        <w:fldChar w:fldCharType="begin"/>
      </w:r>
      <w:r>
        <w:instrText xml:space="preserve"> HYPERLINK \l "_Toc3095" </w:instrText>
      </w:r>
      <w:r>
        <w:fldChar w:fldCharType="separate"/>
      </w:r>
      <w:r>
        <w:rPr>
          <w:bCs/>
          <w:szCs w:val="24"/>
        </w:rPr>
        <w:t>4.5 精神环境</w:t>
      </w:r>
      <w:r>
        <w:tab/>
      </w:r>
      <w:r>
        <w:fldChar w:fldCharType="begin"/>
      </w:r>
      <w:r>
        <w:instrText xml:space="preserve"> PAGEREF _Toc3095 \h </w:instrText>
      </w:r>
      <w:r>
        <w:fldChar w:fldCharType="separate"/>
      </w:r>
      <w:r>
        <w:t>18</w:t>
      </w:r>
      <w:r>
        <w:fldChar w:fldCharType="end"/>
      </w:r>
      <w:r>
        <w:fldChar w:fldCharType="end"/>
      </w:r>
    </w:p>
    <w:p w14:paraId="620C8610">
      <w:pPr>
        <w:pStyle w:val="8"/>
        <w:tabs>
          <w:tab w:val="right" w:leader="dot" w:pos="8306"/>
        </w:tabs>
      </w:pPr>
      <w:r>
        <w:fldChar w:fldCharType="begin"/>
      </w:r>
      <w:r>
        <w:instrText xml:space="preserve"> HYPERLINK \l "_Toc1216" </w:instrText>
      </w:r>
      <w:r>
        <w:fldChar w:fldCharType="separate"/>
      </w:r>
      <w:r>
        <w:rPr>
          <w:bCs/>
          <w:szCs w:val="24"/>
        </w:rPr>
        <w:t>4.6 人本关怀</w:t>
      </w:r>
      <w:r>
        <w:tab/>
      </w:r>
      <w:r>
        <w:fldChar w:fldCharType="begin"/>
      </w:r>
      <w:r>
        <w:instrText xml:space="preserve"> PAGEREF _Toc1216 \h </w:instrText>
      </w:r>
      <w:r>
        <w:fldChar w:fldCharType="separate"/>
      </w:r>
      <w:r>
        <w:t>19</w:t>
      </w:r>
      <w:r>
        <w:fldChar w:fldCharType="end"/>
      </w:r>
      <w:r>
        <w:fldChar w:fldCharType="end"/>
      </w:r>
    </w:p>
    <w:p w14:paraId="158003E8">
      <w:pPr>
        <w:pStyle w:val="6"/>
        <w:tabs>
          <w:tab w:val="right" w:leader="dot" w:pos="8306"/>
        </w:tabs>
      </w:pPr>
      <w:r>
        <w:fldChar w:fldCharType="begin"/>
      </w:r>
      <w:r>
        <w:instrText xml:space="preserve"> HYPERLINK \l "_Toc32314" </w:instrText>
      </w:r>
      <w:r>
        <w:fldChar w:fldCharType="separate"/>
      </w:r>
      <w:r>
        <w:rPr>
          <w:bCs/>
          <w:szCs w:val="28"/>
        </w:rPr>
        <w:t>5 技术措施</w:t>
      </w:r>
      <w:r>
        <w:tab/>
      </w:r>
      <w:r>
        <w:fldChar w:fldCharType="begin"/>
      </w:r>
      <w:r>
        <w:instrText xml:space="preserve"> PAGEREF _Toc32314 \h </w:instrText>
      </w:r>
      <w:r>
        <w:fldChar w:fldCharType="separate"/>
      </w:r>
      <w:r>
        <w:t>20</w:t>
      </w:r>
      <w:r>
        <w:fldChar w:fldCharType="end"/>
      </w:r>
      <w:r>
        <w:fldChar w:fldCharType="end"/>
      </w:r>
    </w:p>
    <w:p w14:paraId="6B22AAED">
      <w:pPr>
        <w:pStyle w:val="8"/>
        <w:tabs>
          <w:tab w:val="right" w:leader="dot" w:pos="8306"/>
        </w:tabs>
      </w:pPr>
      <w:r>
        <w:fldChar w:fldCharType="begin"/>
      </w:r>
      <w:r>
        <w:instrText xml:space="preserve"> HYPERLINK \l "_Toc12191" </w:instrText>
      </w:r>
      <w:r>
        <w:fldChar w:fldCharType="separate"/>
      </w:r>
      <w:r>
        <w:rPr>
          <w:bCs/>
          <w:szCs w:val="24"/>
        </w:rPr>
        <w:t>5.1 建筑</w:t>
      </w:r>
      <w:r>
        <w:tab/>
      </w:r>
      <w:r>
        <w:fldChar w:fldCharType="begin"/>
      </w:r>
      <w:r>
        <w:instrText xml:space="preserve"> PAGEREF _Toc12191 \h </w:instrText>
      </w:r>
      <w:r>
        <w:fldChar w:fldCharType="separate"/>
      </w:r>
      <w:r>
        <w:t>20</w:t>
      </w:r>
      <w:r>
        <w:fldChar w:fldCharType="end"/>
      </w:r>
      <w:r>
        <w:fldChar w:fldCharType="end"/>
      </w:r>
    </w:p>
    <w:p w14:paraId="2C044986">
      <w:pPr>
        <w:pStyle w:val="8"/>
        <w:tabs>
          <w:tab w:val="right" w:leader="dot" w:pos="8306"/>
        </w:tabs>
      </w:pPr>
      <w:r>
        <w:fldChar w:fldCharType="begin"/>
      </w:r>
      <w:r>
        <w:instrText xml:space="preserve"> HYPERLINK \l "_Toc10597" </w:instrText>
      </w:r>
      <w:r>
        <w:fldChar w:fldCharType="separate"/>
      </w:r>
      <w:r>
        <w:rPr>
          <w:bCs/>
          <w:szCs w:val="24"/>
        </w:rPr>
        <w:t>5.2 建筑室内装修</w:t>
      </w:r>
      <w:r>
        <w:tab/>
      </w:r>
      <w:r>
        <w:fldChar w:fldCharType="begin"/>
      </w:r>
      <w:r>
        <w:instrText xml:space="preserve"> PAGEREF _Toc10597 \h </w:instrText>
      </w:r>
      <w:r>
        <w:fldChar w:fldCharType="separate"/>
      </w:r>
      <w:r>
        <w:t>23</w:t>
      </w:r>
      <w:r>
        <w:fldChar w:fldCharType="end"/>
      </w:r>
      <w:r>
        <w:fldChar w:fldCharType="end"/>
      </w:r>
    </w:p>
    <w:p w14:paraId="3B85643C">
      <w:pPr>
        <w:pStyle w:val="8"/>
        <w:tabs>
          <w:tab w:val="right" w:leader="dot" w:pos="8306"/>
        </w:tabs>
      </w:pPr>
      <w:r>
        <w:fldChar w:fldCharType="begin"/>
      </w:r>
      <w:r>
        <w:instrText xml:space="preserve"> HYPERLINK \l "_Toc7137" </w:instrText>
      </w:r>
      <w:r>
        <w:fldChar w:fldCharType="separate"/>
      </w:r>
      <w:r>
        <w:rPr>
          <w:bCs/>
          <w:szCs w:val="24"/>
        </w:rPr>
        <w:t>5.3 建筑室内环控设备系统</w:t>
      </w:r>
      <w:r>
        <w:tab/>
      </w:r>
      <w:r>
        <w:fldChar w:fldCharType="begin"/>
      </w:r>
      <w:r>
        <w:instrText xml:space="preserve"> PAGEREF _Toc7137 \h </w:instrText>
      </w:r>
      <w:r>
        <w:fldChar w:fldCharType="separate"/>
      </w:r>
      <w:r>
        <w:t>26</w:t>
      </w:r>
      <w:r>
        <w:fldChar w:fldCharType="end"/>
      </w:r>
      <w:r>
        <w:fldChar w:fldCharType="end"/>
      </w:r>
    </w:p>
    <w:p w14:paraId="07632160">
      <w:pPr>
        <w:pStyle w:val="6"/>
        <w:tabs>
          <w:tab w:val="right" w:leader="dot" w:pos="8306"/>
        </w:tabs>
      </w:pPr>
      <w:r>
        <w:fldChar w:fldCharType="begin"/>
      </w:r>
      <w:r>
        <w:instrText xml:space="preserve"> HYPERLINK \l "_Toc18424" </w:instrText>
      </w:r>
      <w:r>
        <w:fldChar w:fldCharType="separate"/>
      </w:r>
      <w:r>
        <w:rPr>
          <w:bCs/>
          <w:szCs w:val="28"/>
        </w:rPr>
        <w:t>6 运行维护</w:t>
      </w:r>
      <w:r>
        <w:tab/>
      </w:r>
      <w:r>
        <w:fldChar w:fldCharType="begin"/>
      </w:r>
      <w:r>
        <w:instrText xml:space="preserve"> PAGEREF _Toc18424 \h </w:instrText>
      </w:r>
      <w:r>
        <w:fldChar w:fldCharType="separate"/>
      </w:r>
      <w:r>
        <w:t>30</w:t>
      </w:r>
      <w:r>
        <w:fldChar w:fldCharType="end"/>
      </w:r>
      <w:r>
        <w:fldChar w:fldCharType="end"/>
      </w:r>
    </w:p>
    <w:p w14:paraId="01040F9C">
      <w:pPr>
        <w:pStyle w:val="8"/>
        <w:tabs>
          <w:tab w:val="right" w:leader="dot" w:pos="8306"/>
        </w:tabs>
      </w:pPr>
      <w:r>
        <w:fldChar w:fldCharType="begin"/>
      </w:r>
      <w:r>
        <w:instrText xml:space="preserve"> HYPERLINK \l "_Toc4160" </w:instrText>
      </w:r>
      <w:r>
        <w:fldChar w:fldCharType="separate"/>
      </w:r>
      <w:r>
        <w:rPr>
          <w:bCs/>
          <w:szCs w:val="24"/>
        </w:rPr>
        <w:t>6.1 一般规定</w:t>
      </w:r>
      <w:r>
        <w:tab/>
      </w:r>
      <w:r>
        <w:fldChar w:fldCharType="begin"/>
      </w:r>
      <w:r>
        <w:instrText xml:space="preserve"> PAGEREF _Toc4160 \h </w:instrText>
      </w:r>
      <w:r>
        <w:fldChar w:fldCharType="separate"/>
      </w:r>
      <w:r>
        <w:t>30</w:t>
      </w:r>
      <w:r>
        <w:fldChar w:fldCharType="end"/>
      </w:r>
      <w:r>
        <w:fldChar w:fldCharType="end"/>
      </w:r>
    </w:p>
    <w:p w14:paraId="13D77BD6">
      <w:pPr>
        <w:pStyle w:val="8"/>
        <w:tabs>
          <w:tab w:val="right" w:leader="dot" w:pos="8306"/>
        </w:tabs>
      </w:pPr>
      <w:r>
        <w:fldChar w:fldCharType="begin"/>
      </w:r>
      <w:r>
        <w:instrText xml:space="preserve"> HYPERLINK \l "_Toc3124" </w:instrText>
      </w:r>
      <w:r>
        <w:fldChar w:fldCharType="separate"/>
      </w:r>
      <w:r>
        <w:rPr>
          <w:bCs/>
          <w:szCs w:val="24"/>
        </w:rPr>
        <w:t>6.2 物理环境维护</w:t>
      </w:r>
      <w:r>
        <w:tab/>
      </w:r>
      <w:r>
        <w:fldChar w:fldCharType="begin"/>
      </w:r>
      <w:r>
        <w:instrText xml:space="preserve"> PAGEREF _Toc3124 \h </w:instrText>
      </w:r>
      <w:r>
        <w:fldChar w:fldCharType="separate"/>
      </w:r>
      <w:r>
        <w:t>30</w:t>
      </w:r>
      <w:r>
        <w:fldChar w:fldCharType="end"/>
      </w:r>
      <w:r>
        <w:fldChar w:fldCharType="end"/>
      </w:r>
    </w:p>
    <w:p w14:paraId="4CB68201">
      <w:pPr>
        <w:pStyle w:val="8"/>
        <w:tabs>
          <w:tab w:val="right" w:leader="dot" w:pos="8306"/>
        </w:tabs>
      </w:pPr>
      <w:r>
        <w:fldChar w:fldCharType="begin"/>
      </w:r>
      <w:r>
        <w:instrText xml:space="preserve"> HYPERLINK \l "_Toc10914" </w:instrText>
      </w:r>
      <w:r>
        <w:fldChar w:fldCharType="separate"/>
      </w:r>
      <w:r>
        <w:rPr>
          <w:bCs/>
          <w:szCs w:val="24"/>
        </w:rPr>
        <w:t>6.3 化学环境维护</w:t>
      </w:r>
      <w:r>
        <w:tab/>
      </w:r>
      <w:r>
        <w:fldChar w:fldCharType="begin"/>
      </w:r>
      <w:r>
        <w:instrText xml:space="preserve"> PAGEREF _Toc10914 \h </w:instrText>
      </w:r>
      <w:r>
        <w:fldChar w:fldCharType="separate"/>
      </w:r>
      <w:r>
        <w:t>31</w:t>
      </w:r>
      <w:r>
        <w:fldChar w:fldCharType="end"/>
      </w:r>
      <w:r>
        <w:fldChar w:fldCharType="end"/>
      </w:r>
    </w:p>
    <w:p w14:paraId="10A64DB9">
      <w:pPr>
        <w:pStyle w:val="8"/>
        <w:tabs>
          <w:tab w:val="right" w:leader="dot" w:pos="8306"/>
        </w:tabs>
      </w:pPr>
      <w:r>
        <w:fldChar w:fldCharType="begin"/>
      </w:r>
      <w:r>
        <w:instrText xml:space="preserve"> HYPERLINK \l "_Toc9832" </w:instrText>
      </w:r>
      <w:r>
        <w:fldChar w:fldCharType="separate"/>
      </w:r>
      <w:r>
        <w:rPr>
          <w:bCs/>
          <w:szCs w:val="24"/>
        </w:rPr>
        <w:t>6.4 生物环境维护</w:t>
      </w:r>
      <w:r>
        <w:tab/>
      </w:r>
      <w:r>
        <w:fldChar w:fldCharType="begin"/>
      </w:r>
      <w:r>
        <w:instrText xml:space="preserve"> PAGEREF _Toc9832 \h </w:instrText>
      </w:r>
      <w:r>
        <w:fldChar w:fldCharType="separate"/>
      </w:r>
      <w:r>
        <w:t>32</w:t>
      </w:r>
      <w:r>
        <w:fldChar w:fldCharType="end"/>
      </w:r>
      <w:r>
        <w:fldChar w:fldCharType="end"/>
      </w:r>
    </w:p>
    <w:p w14:paraId="57007CD6">
      <w:pPr>
        <w:pStyle w:val="8"/>
        <w:tabs>
          <w:tab w:val="right" w:leader="dot" w:pos="8306"/>
        </w:tabs>
      </w:pPr>
      <w:r>
        <w:fldChar w:fldCharType="begin"/>
      </w:r>
      <w:r>
        <w:instrText xml:space="preserve"> HYPERLINK \l "_Toc17431" </w:instrText>
      </w:r>
      <w:r>
        <w:fldChar w:fldCharType="separate"/>
      </w:r>
      <w:r>
        <w:rPr>
          <w:bCs/>
          <w:szCs w:val="24"/>
        </w:rPr>
        <w:t>6.5 精神环境维护</w:t>
      </w:r>
      <w:r>
        <w:tab/>
      </w:r>
      <w:r>
        <w:fldChar w:fldCharType="begin"/>
      </w:r>
      <w:r>
        <w:instrText xml:space="preserve"> PAGEREF _Toc17431 \h </w:instrText>
      </w:r>
      <w:r>
        <w:fldChar w:fldCharType="separate"/>
      </w:r>
      <w:r>
        <w:t>32</w:t>
      </w:r>
      <w:r>
        <w:fldChar w:fldCharType="end"/>
      </w:r>
      <w:r>
        <w:fldChar w:fldCharType="end"/>
      </w:r>
    </w:p>
    <w:p w14:paraId="48C1F449">
      <w:pPr>
        <w:pStyle w:val="8"/>
        <w:tabs>
          <w:tab w:val="right" w:leader="dot" w:pos="8306"/>
        </w:tabs>
      </w:pPr>
      <w:r>
        <w:fldChar w:fldCharType="begin"/>
      </w:r>
      <w:r>
        <w:instrText xml:space="preserve"> HYPERLINK \l "_Toc13687" </w:instrText>
      </w:r>
      <w:r>
        <w:fldChar w:fldCharType="separate"/>
      </w:r>
      <w:r>
        <w:rPr>
          <w:bCs/>
          <w:szCs w:val="24"/>
        </w:rPr>
        <w:t>6.6 人本关怀维护</w:t>
      </w:r>
      <w:r>
        <w:tab/>
      </w:r>
      <w:r>
        <w:fldChar w:fldCharType="begin"/>
      </w:r>
      <w:r>
        <w:instrText xml:space="preserve"> PAGEREF _Toc13687 \h </w:instrText>
      </w:r>
      <w:r>
        <w:fldChar w:fldCharType="separate"/>
      </w:r>
      <w:r>
        <w:t>33</w:t>
      </w:r>
      <w:r>
        <w:fldChar w:fldCharType="end"/>
      </w:r>
      <w:r>
        <w:fldChar w:fldCharType="end"/>
      </w:r>
    </w:p>
    <w:p w14:paraId="53C5667D">
      <w:pPr>
        <w:pStyle w:val="6"/>
        <w:tabs>
          <w:tab w:val="right" w:leader="dot" w:pos="8306"/>
        </w:tabs>
      </w:pPr>
      <w:r>
        <w:fldChar w:fldCharType="begin"/>
      </w:r>
      <w:r>
        <w:instrText xml:space="preserve"> HYPERLINK \l "_Toc18878" </w:instrText>
      </w:r>
      <w:r>
        <w:fldChar w:fldCharType="separate"/>
      </w:r>
      <w:r>
        <w:rPr>
          <w:bCs/>
          <w:szCs w:val="28"/>
        </w:rPr>
        <w:t>本标准用词说明</w:t>
      </w:r>
      <w:r>
        <w:tab/>
      </w:r>
      <w:r>
        <w:fldChar w:fldCharType="begin"/>
      </w:r>
      <w:r>
        <w:instrText xml:space="preserve"> PAGEREF _Toc18878 \h </w:instrText>
      </w:r>
      <w:r>
        <w:fldChar w:fldCharType="separate"/>
      </w:r>
      <w:r>
        <w:t>35</w:t>
      </w:r>
      <w:r>
        <w:fldChar w:fldCharType="end"/>
      </w:r>
      <w:r>
        <w:fldChar w:fldCharType="end"/>
      </w:r>
    </w:p>
    <w:p w14:paraId="56F9BEAC">
      <w:pPr>
        <w:pStyle w:val="6"/>
        <w:tabs>
          <w:tab w:val="right" w:leader="dot" w:pos="8306"/>
        </w:tabs>
      </w:pPr>
      <w:r>
        <w:fldChar w:fldCharType="begin"/>
      </w:r>
      <w:r>
        <w:instrText xml:space="preserve"> HYPERLINK \l "_Toc15528" </w:instrText>
      </w:r>
      <w:r>
        <w:fldChar w:fldCharType="separate"/>
      </w:r>
      <w:r>
        <w:rPr>
          <w:rFonts w:hint="eastAsia"/>
          <w:bCs/>
          <w:szCs w:val="28"/>
        </w:rPr>
        <w:t>引用标准名录</w:t>
      </w:r>
      <w:r>
        <w:tab/>
      </w:r>
      <w:r>
        <w:fldChar w:fldCharType="begin"/>
      </w:r>
      <w:r>
        <w:instrText xml:space="preserve"> PAGEREF _Toc15528 \h </w:instrText>
      </w:r>
      <w:r>
        <w:fldChar w:fldCharType="separate"/>
      </w:r>
      <w:r>
        <w:t>36</w:t>
      </w:r>
      <w:r>
        <w:fldChar w:fldCharType="end"/>
      </w:r>
      <w:r>
        <w:fldChar w:fldCharType="end"/>
      </w:r>
    </w:p>
    <w:p w14:paraId="4614B097">
      <w:pPr>
        <w:pStyle w:val="6"/>
        <w:tabs>
          <w:tab w:val="right" w:leader="dot" w:pos="8306"/>
        </w:tabs>
      </w:pPr>
      <w:r>
        <w:fldChar w:fldCharType="begin"/>
      </w:r>
      <w:r>
        <w:instrText xml:space="preserve"> HYPERLINK \l "_Toc23002" </w:instrText>
      </w:r>
      <w:r>
        <w:fldChar w:fldCharType="separate"/>
      </w:r>
      <w:r>
        <w:rPr>
          <w:rFonts w:hint="eastAsia"/>
          <w:bCs/>
          <w:szCs w:val="28"/>
        </w:rPr>
        <w:t>附:条文说明</w:t>
      </w:r>
      <w:r>
        <w:tab/>
      </w:r>
      <w:r>
        <w:fldChar w:fldCharType="begin"/>
      </w:r>
      <w:r>
        <w:instrText xml:space="preserve"> PAGEREF _Toc23002 \h </w:instrText>
      </w:r>
      <w:r>
        <w:fldChar w:fldCharType="separate"/>
      </w:r>
      <w:r>
        <w:t>38</w:t>
      </w:r>
      <w:r>
        <w:fldChar w:fldCharType="end"/>
      </w:r>
      <w:r>
        <w:fldChar w:fldCharType="end"/>
      </w:r>
    </w:p>
    <w:p w14:paraId="22C75E1C">
      <w:pPr>
        <w:pStyle w:val="8"/>
        <w:tabs>
          <w:tab w:val="right" w:leader="dot" w:pos="8306"/>
        </w:tabs>
      </w:pPr>
    </w:p>
    <w:p w14:paraId="55721610">
      <w:pPr>
        <w:spacing w:line="288" w:lineRule="auto"/>
        <w:rPr>
          <w:b/>
          <w:bCs/>
          <w:sz w:val="24"/>
          <w:szCs w:val="24"/>
        </w:rPr>
      </w:pPr>
      <w:r>
        <w:rPr>
          <w:sz w:val="28"/>
          <w:szCs w:val="28"/>
        </w:rPr>
        <w:fldChar w:fldCharType="end"/>
      </w:r>
      <w:r>
        <w:rPr>
          <w:b/>
          <w:bCs/>
          <w:sz w:val="24"/>
          <w:szCs w:val="24"/>
        </w:rPr>
        <w:br w:type="page"/>
      </w:r>
      <w:r>
        <w:rPr>
          <w:rFonts w:hint="eastAsia"/>
          <w:b/>
          <w:bCs/>
          <w:sz w:val="24"/>
          <w:szCs w:val="24"/>
        </w:rPr>
        <w:t xml:space="preserve"> </w:t>
      </w:r>
    </w:p>
    <w:p w14:paraId="14C53F01">
      <w:pPr>
        <w:spacing w:before="120" w:after="120" w:line="312" w:lineRule="auto"/>
        <w:jc w:val="center"/>
        <w:outlineLvl w:val="0"/>
        <w:rPr>
          <w:b/>
          <w:bCs/>
          <w:sz w:val="28"/>
          <w:szCs w:val="28"/>
        </w:rPr>
      </w:pPr>
      <w:bookmarkStart w:id="33" w:name="_Toc6314"/>
      <w:bookmarkStart w:id="34" w:name="_Toc19649"/>
      <w:bookmarkStart w:id="35" w:name="_Toc7054"/>
      <w:bookmarkStart w:id="36" w:name="_Toc18099"/>
      <w:bookmarkStart w:id="37" w:name="_Toc13861"/>
      <w:bookmarkStart w:id="38" w:name="_Toc9566"/>
      <w:bookmarkStart w:id="39" w:name="_Toc201158879"/>
      <w:bookmarkStart w:id="40" w:name="_Toc9986"/>
      <w:bookmarkStart w:id="41" w:name="_Toc7617"/>
      <w:bookmarkStart w:id="42" w:name="_Toc6126"/>
      <w:bookmarkStart w:id="43" w:name="_Toc29782"/>
      <w:r>
        <w:rPr>
          <w:b/>
          <w:bCs/>
          <w:sz w:val="28"/>
          <w:szCs w:val="28"/>
        </w:rPr>
        <w:t>1 总则</w:t>
      </w:r>
      <w:bookmarkEnd w:id="33"/>
      <w:bookmarkEnd w:id="34"/>
      <w:bookmarkEnd w:id="35"/>
      <w:bookmarkEnd w:id="36"/>
      <w:bookmarkEnd w:id="37"/>
      <w:bookmarkEnd w:id="38"/>
      <w:bookmarkEnd w:id="39"/>
      <w:bookmarkEnd w:id="40"/>
      <w:bookmarkEnd w:id="41"/>
      <w:bookmarkEnd w:id="42"/>
      <w:bookmarkEnd w:id="43"/>
    </w:p>
    <w:p w14:paraId="6E0EBF02">
      <w:pPr>
        <w:spacing w:before="120" w:after="120" w:line="312" w:lineRule="auto"/>
        <w:rPr>
          <w:sz w:val="24"/>
          <w:szCs w:val="24"/>
        </w:rPr>
      </w:pPr>
      <w:r>
        <w:rPr>
          <w:b/>
          <w:bCs/>
          <w:sz w:val="24"/>
          <w:szCs w:val="24"/>
        </w:rPr>
        <w:t>1.0.1</w:t>
      </w:r>
      <w:r>
        <w:rPr>
          <w:sz w:val="24"/>
          <w:szCs w:val="24"/>
        </w:rPr>
        <w:t xml:space="preserve"> 为落实国家“双碳”战略，改善广东省建筑的室内环境，为高质量建筑室内环境的建设提供技</w:t>
      </w:r>
      <w:r>
        <w:rPr>
          <w:rFonts w:hint="eastAsia"/>
          <w:sz w:val="24"/>
          <w:szCs w:val="24"/>
        </w:rPr>
        <w:t xml:space="preserve"> </w:t>
      </w:r>
      <w:r>
        <w:rPr>
          <w:sz w:val="24"/>
          <w:szCs w:val="24"/>
        </w:rPr>
        <w:t>术标准，满足人民日益增长的美好生活需求，编制本标准。</w:t>
      </w:r>
    </w:p>
    <w:p w14:paraId="6617EB17">
      <w:pPr>
        <w:spacing w:before="120" w:after="120" w:line="312" w:lineRule="auto"/>
        <w:rPr>
          <w:sz w:val="24"/>
          <w:szCs w:val="24"/>
        </w:rPr>
      </w:pPr>
      <w:r>
        <w:rPr>
          <w:b/>
          <w:bCs/>
          <w:sz w:val="24"/>
          <w:szCs w:val="24"/>
        </w:rPr>
        <w:t>1.0.2</w:t>
      </w:r>
      <w:r>
        <w:rPr>
          <w:sz w:val="24"/>
          <w:szCs w:val="24"/>
        </w:rPr>
        <w:t xml:space="preserve"> 本标准适用于民用建筑室内功能空间的环境设计、施工、检验、运行。</w:t>
      </w:r>
    </w:p>
    <w:p w14:paraId="335A80AA">
      <w:pPr>
        <w:spacing w:before="120" w:after="120" w:line="312" w:lineRule="auto"/>
        <w:rPr>
          <w:b/>
          <w:bCs/>
          <w:sz w:val="24"/>
          <w:szCs w:val="24"/>
        </w:rPr>
      </w:pPr>
      <w:r>
        <w:rPr>
          <w:b/>
          <w:bCs/>
          <w:sz w:val="24"/>
          <w:szCs w:val="24"/>
        </w:rPr>
        <w:t>1.0.3</w:t>
      </w:r>
      <w:r>
        <w:rPr>
          <w:sz w:val="24"/>
          <w:szCs w:val="24"/>
        </w:rPr>
        <w:t xml:space="preserve"> 室内环境的营造应以满足室内空间功能要求、促进人们身心健康、提高生活品质和提升工作效率为目标。</w:t>
      </w:r>
    </w:p>
    <w:p w14:paraId="3206C789">
      <w:pPr>
        <w:spacing w:before="120" w:after="120" w:line="312" w:lineRule="auto"/>
        <w:rPr>
          <w:sz w:val="24"/>
          <w:szCs w:val="24"/>
        </w:rPr>
      </w:pPr>
      <w:r>
        <w:rPr>
          <w:b/>
          <w:bCs/>
          <w:sz w:val="24"/>
          <w:szCs w:val="24"/>
        </w:rPr>
        <w:t>1.0.4</w:t>
      </w:r>
      <w:r>
        <w:rPr>
          <w:sz w:val="24"/>
          <w:szCs w:val="24"/>
        </w:rPr>
        <w:t xml:space="preserve"> 室内环境营造</w:t>
      </w:r>
      <w:r>
        <w:rPr>
          <w:rFonts w:hint="eastAsia"/>
          <w:sz w:val="24"/>
          <w:szCs w:val="24"/>
        </w:rPr>
        <w:t>除应符合本标准外，尚应符合国家和广东省现行有关标准的规定</w:t>
      </w:r>
    </w:p>
    <w:p w14:paraId="49219B13">
      <w:pPr>
        <w:jc w:val="left"/>
        <w:rPr>
          <w:b/>
          <w:bCs/>
          <w:sz w:val="28"/>
          <w:szCs w:val="28"/>
        </w:rPr>
      </w:pPr>
      <w:bookmarkStart w:id="44" w:name="_Toc28320"/>
      <w:bookmarkStart w:id="45" w:name="_Toc1345"/>
      <w:bookmarkStart w:id="46" w:name="_Toc30032"/>
      <w:bookmarkStart w:id="47" w:name="_Toc12713"/>
      <w:bookmarkStart w:id="48" w:name="_Toc201158880"/>
      <w:bookmarkStart w:id="49" w:name="_Toc5075"/>
      <w:r>
        <w:rPr>
          <w:b/>
          <w:bCs/>
          <w:sz w:val="28"/>
          <w:szCs w:val="28"/>
        </w:rPr>
        <w:br w:type="page"/>
      </w:r>
    </w:p>
    <w:p w14:paraId="29470C9C">
      <w:pPr>
        <w:spacing w:before="120" w:after="120" w:line="312" w:lineRule="auto"/>
        <w:jc w:val="center"/>
        <w:outlineLvl w:val="0"/>
        <w:rPr>
          <w:b/>
          <w:bCs/>
          <w:sz w:val="28"/>
          <w:szCs w:val="28"/>
        </w:rPr>
      </w:pPr>
      <w:bookmarkStart w:id="50" w:name="_Toc3748"/>
      <w:bookmarkStart w:id="51" w:name="_Toc16496"/>
      <w:bookmarkStart w:id="52" w:name="_Toc28006"/>
      <w:bookmarkStart w:id="53" w:name="_Toc3524"/>
      <w:bookmarkStart w:id="54" w:name="_Toc4615"/>
      <w:r>
        <w:rPr>
          <w:b/>
          <w:bCs/>
          <w:sz w:val="28"/>
          <w:szCs w:val="28"/>
        </w:rPr>
        <w:t>2 术语</w:t>
      </w:r>
      <w:bookmarkEnd w:id="44"/>
      <w:bookmarkEnd w:id="45"/>
      <w:bookmarkEnd w:id="46"/>
      <w:bookmarkEnd w:id="47"/>
      <w:bookmarkEnd w:id="48"/>
      <w:bookmarkEnd w:id="49"/>
      <w:bookmarkEnd w:id="50"/>
      <w:bookmarkEnd w:id="51"/>
      <w:bookmarkEnd w:id="52"/>
      <w:bookmarkEnd w:id="53"/>
      <w:bookmarkEnd w:id="54"/>
    </w:p>
    <w:p w14:paraId="25BB74F2">
      <w:pPr>
        <w:spacing w:before="120" w:after="120" w:line="312" w:lineRule="auto"/>
        <w:rPr>
          <w:b/>
          <w:bCs/>
          <w:sz w:val="24"/>
          <w:szCs w:val="24"/>
        </w:rPr>
      </w:pPr>
      <w:bookmarkStart w:id="55" w:name="_Toc3334"/>
      <w:r>
        <w:rPr>
          <w:b/>
          <w:bCs/>
          <w:sz w:val="24"/>
          <w:szCs w:val="24"/>
        </w:rPr>
        <w:t xml:space="preserve">2.0.1 </w:t>
      </w:r>
      <w:r>
        <w:rPr>
          <w:sz w:val="24"/>
          <w:szCs w:val="24"/>
        </w:rPr>
        <w:t>高品质建筑 High-quality building</w:t>
      </w:r>
    </w:p>
    <w:p w14:paraId="23822B34">
      <w:pPr>
        <w:spacing w:before="120" w:after="120" w:line="312" w:lineRule="auto"/>
        <w:ind w:firstLine="480" w:firstLineChars="200"/>
        <w:rPr>
          <w:b/>
          <w:bCs/>
          <w:sz w:val="24"/>
          <w:szCs w:val="24"/>
        </w:rPr>
      </w:pPr>
      <w:r>
        <w:rPr>
          <w:sz w:val="24"/>
          <w:szCs w:val="24"/>
        </w:rPr>
        <w:t>在满足绿色低碳的前提下，以人为本，对现行标准规定的基本品质进行提高，以提供安全、舒适、健康、高效、便捷、智慧的室内外使用空间，能够满足住户审美需求，全面保障居住长久品质与资产价值，最大限度实现人与自然和谐共生的高质量建筑。</w:t>
      </w:r>
    </w:p>
    <w:p w14:paraId="53C021B6">
      <w:pPr>
        <w:spacing w:before="120" w:after="120" w:line="312" w:lineRule="auto"/>
        <w:rPr>
          <w:sz w:val="24"/>
          <w:szCs w:val="24"/>
        </w:rPr>
      </w:pPr>
      <w:r>
        <w:rPr>
          <w:b/>
          <w:bCs/>
          <w:sz w:val="24"/>
          <w:szCs w:val="24"/>
        </w:rPr>
        <w:t>2.0.2</w:t>
      </w:r>
      <w:r>
        <w:rPr>
          <w:sz w:val="24"/>
          <w:szCs w:val="24"/>
        </w:rPr>
        <w:t xml:space="preserve"> 建筑室内环境 Building indoor environment</w:t>
      </w:r>
      <w:bookmarkEnd w:id="55"/>
    </w:p>
    <w:p w14:paraId="0CDA2953">
      <w:pPr>
        <w:spacing w:before="120" w:after="120" w:line="312" w:lineRule="auto"/>
        <w:ind w:firstLine="480" w:firstLineChars="200"/>
        <w:rPr>
          <w:sz w:val="24"/>
          <w:szCs w:val="24"/>
        </w:rPr>
      </w:pPr>
      <w:r>
        <w:rPr>
          <w:sz w:val="24"/>
          <w:szCs w:val="24"/>
        </w:rPr>
        <w:t>建筑室内空间的环境。室内环境在满足相应的建筑功能要求的基础上，能够满足人们物质和精神生活需要，实现对老人、女性、婴幼儿、儿童、身体不适等群体有人本关怀，满足特殊需求。室内环境包括：物理环境、化学环境、生物环境、精神环境和人本关怀。</w:t>
      </w:r>
    </w:p>
    <w:p w14:paraId="772DE5D7">
      <w:pPr>
        <w:spacing w:before="120" w:after="120" w:line="312" w:lineRule="auto"/>
        <w:rPr>
          <w:sz w:val="24"/>
          <w:szCs w:val="24"/>
        </w:rPr>
      </w:pPr>
      <w:r>
        <w:rPr>
          <w:sz w:val="24"/>
          <w:szCs w:val="24"/>
        </w:rPr>
        <w:br w:type="page"/>
      </w:r>
    </w:p>
    <w:p w14:paraId="36D755AD">
      <w:pPr>
        <w:spacing w:before="120" w:after="120" w:line="312" w:lineRule="auto"/>
        <w:ind w:firstLine="480" w:firstLineChars="200"/>
        <w:rPr>
          <w:sz w:val="24"/>
          <w:szCs w:val="24"/>
        </w:rPr>
      </w:pPr>
    </w:p>
    <w:p w14:paraId="7DFEAF53">
      <w:pPr>
        <w:spacing w:before="120" w:after="120" w:line="312" w:lineRule="auto"/>
        <w:jc w:val="center"/>
        <w:outlineLvl w:val="0"/>
        <w:rPr>
          <w:b/>
          <w:bCs/>
          <w:sz w:val="28"/>
          <w:szCs w:val="28"/>
        </w:rPr>
      </w:pPr>
      <w:bookmarkStart w:id="56" w:name="_Toc201158881"/>
      <w:bookmarkStart w:id="57" w:name="_Toc15131"/>
      <w:bookmarkStart w:id="58" w:name="_Toc17122"/>
      <w:bookmarkStart w:id="59" w:name="_Toc14388"/>
      <w:bookmarkStart w:id="60" w:name="_Toc13518"/>
      <w:bookmarkStart w:id="61" w:name="_Toc25234"/>
      <w:bookmarkStart w:id="62" w:name="_Toc22621"/>
      <w:bookmarkStart w:id="63" w:name="_Toc5014"/>
      <w:bookmarkStart w:id="64" w:name="_Toc8158"/>
      <w:bookmarkStart w:id="65" w:name="_Toc24541"/>
      <w:bookmarkStart w:id="66" w:name="_Toc23158"/>
      <w:r>
        <w:rPr>
          <w:b/>
          <w:bCs/>
          <w:sz w:val="28"/>
          <w:szCs w:val="28"/>
        </w:rPr>
        <w:t>3 基本规定</w:t>
      </w:r>
      <w:bookmarkEnd w:id="56"/>
      <w:bookmarkEnd w:id="57"/>
      <w:bookmarkEnd w:id="58"/>
      <w:bookmarkEnd w:id="59"/>
      <w:bookmarkEnd w:id="60"/>
      <w:bookmarkEnd w:id="61"/>
      <w:bookmarkEnd w:id="62"/>
      <w:bookmarkEnd w:id="63"/>
      <w:bookmarkEnd w:id="64"/>
      <w:bookmarkEnd w:id="65"/>
      <w:bookmarkEnd w:id="66"/>
    </w:p>
    <w:p w14:paraId="2E990F6B">
      <w:pPr>
        <w:spacing w:before="120" w:after="120" w:line="312" w:lineRule="auto"/>
        <w:rPr>
          <w:b/>
          <w:bCs/>
          <w:sz w:val="24"/>
          <w:szCs w:val="24"/>
        </w:rPr>
      </w:pPr>
      <w:r>
        <w:rPr>
          <w:b/>
          <w:bCs/>
          <w:sz w:val="24"/>
          <w:szCs w:val="24"/>
        </w:rPr>
        <w:t>3.0.1</w:t>
      </w:r>
      <w:r>
        <w:rPr>
          <w:sz w:val="24"/>
          <w:szCs w:val="24"/>
        </w:rPr>
        <w:t xml:space="preserve"> 建筑室内环境的营造应遵循“经济、适用、绿色、美观”的建设方针。</w:t>
      </w:r>
    </w:p>
    <w:p w14:paraId="40F156E9">
      <w:pPr>
        <w:spacing w:before="120" w:after="120" w:line="312" w:lineRule="auto"/>
        <w:rPr>
          <w:b/>
          <w:bCs/>
          <w:sz w:val="24"/>
          <w:szCs w:val="24"/>
        </w:rPr>
      </w:pPr>
      <w:r>
        <w:rPr>
          <w:b/>
          <w:bCs/>
          <w:sz w:val="24"/>
          <w:szCs w:val="24"/>
        </w:rPr>
        <w:t xml:space="preserve">3.0.2 </w:t>
      </w:r>
      <w:r>
        <w:rPr>
          <w:sz w:val="24"/>
          <w:szCs w:val="24"/>
        </w:rPr>
        <w:t>建筑室内空间环境设计应包含物理环境、化学环境、生物环境、精神环境和人本关怀等内容，并应符合下列</w:t>
      </w:r>
      <w:r>
        <w:rPr>
          <w:rFonts w:hint="eastAsia"/>
          <w:sz w:val="24"/>
          <w:szCs w:val="24"/>
        </w:rPr>
        <w:t>要求</w:t>
      </w:r>
      <w:r>
        <w:rPr>
          <w:sz w:val="24"/>
          <w:szCs w:val="24"/>
        </w:rPr>
        <w:t>：</w:t>
      </w:r>
      <w:r>
        <w:rPr>
          <w:sz w:val="24"/>
          <w:szCs w:val="24"/>
        </w:rPr>
        <w:br w:type="textWrapping"/>
      </w:r>
      <w:r>
        <w:rPr>
          <w:sz w:val="24"/>
          <w:szCs w:val="24"/>
        </w:rPr>
        <w:t xml:space="preserve">    </w:t>
      </w:r>
      <w:r>
        <w:rPr>
          <w:b/>
          <w:bCs/>
          <w:sz w:val="24"/>
          <w:szCs w:val="24"/>
        </w:rPr>
        <w:t>1</w:t>
      </w:r>
      <w:r>
        <w:rPr>
          <w:sz w:val="24"/>
          <w:szCs w:val="24"/>
        </w:rPr>
        <w:t xml:space="preserve"> 应根据建筑室内空间功能要求，综合考虑室外环境条件及室内生产、生活特点，确定各项环境指标；</w:t>
      </w:r>
      <w:r>
        <w:rPr>
          <w:sz w:val="24"/>
          <w:szCs w:val="24"/>
        </w:rPr>
        <w:br w:type="textWrapping"/>
      </w:r>
      <w:r>
        <w:rPr>
          <w:sz w:val="24"/>
          <w:szCs w:val="24"/>
        </w:rPr>
        <w:t xml:space="preserve">    </w:t>
      </w:r>
      <w:r>
        <w:rPr>
          <w:b/>
          <w:bCs/>
          <w:sz w:val="24"/>
          <w:szCs w:val="24"/>
        </w:rPr>
        <w:t>2</w:t>
      </w:r>
      <w:r>
        <w:rPr>
          <w:sz w:val="24"/>
          <w:szCs w:val="24"/>
        </w:rPr>
        <w:t xml:space="preserve"> 应与建筑整体协同，确保各专业系统协调统一；</w:t>
      </w:r>
      <w:r>
        <w:rPr>
          <w:sz w:val="24"/>
          <w:szCs w:val="24"/>
        </w:rPr>
        <w:br w:type="textWrapping"/>
      </w:r>
      <w:r>
        <w:rPr>
          <w:sz w:val="24"/>
          <w:szCs w:val="24"/>
        </w:rPr>
        <w:t xml:space="preserve">    </w:t>
      </w:r>
      <w:r>
        <w:rPr>
          <w:b/>
          <w:bCs/>
          <w:sz w:val="24"/>
          <w:szCs w:val="24"/>
        </w:rPr>
        <w:t>3</w:t>
      </w:r>
      <w:r>
        <w:rPr>
          <w:sz w:val="24"/>
          <w:szCs w:val="24"/>
        </w:rPr>
        <w:t xml:space="preserve"> 应满足使用功能要求，营造安全、健康、舒适的室内环境。</w:t>
      </w:r>
    </w:p>
    <w:p w14:paraId="059FF6B9">
      <w:pPr>
        <w:spacing w:before="120" w:after="120" w:line="312" w:lineRule="auto"/>
        <w:rPr>
          <w:sz w:val="24"/>
          <w:szCs w:val="24"/>
        </w:rPr>
      </w:pPr>
      <w:r>
        <w:rPr>
          <w:b/>
          <w:bCs/>
          <w:sz w:val="24"/>
          <w:szCs w:val="24"/>
        </w:rPr>
        <w:t>3.0.3</w:t>
      </w:r>
      <w:r>
        <w:rPr>
          <w:sz w:val="24"/>
          <w:szCs w:val="24"/>
        </w:rPr>
        <w:t>在建筑规划设计中，应遵循以下</w:t>
      </w:r>
      <w:r>
        <w:rPr>
          <w:rFonts w:hint="eastAsia"/>
          <w:sz w:val="24"/>
          <w:szCs w:val="24"/>
        </w:rPr>
        <w:t>要求</w:t>
      </w:r>
      <w:r>
        <w:rPr>
          <w:sz w:val="24"/>
          <w:szCs w:val="24"/>
        </w:rPr>
        <w:t>：</w:t>
      </w:r>
    </w:p>
    <w:p w14:paraId="64C8D505">
      <w:pPr>
        <w:spacing w:before="120" w:after="120" w:line="312" w:lineRule="auto"/>
        <w:ind w:firstLine="482" w:firstLineChars="200"/>
        <w:rPr>
          <w:sz w:val="24"/>
          <w:szCs w:val="24"/>
        </w:rPr>
      </w:pPr>
      <w:r>
        <w:rPr>
          <w:b/>
          <w:bCs/>
          <w:sz w:val="24"/>
          <w:szCs w:val="24"/>
        </w:rPr>
        <w:t>1</w:t>
      </w:r>
      <w:r>
        <w:rPr>
          <w:sz w:val="24"/>
          <w:szCs w:val="24"/>
        </w:rPr>
        <w:t xml:space="preserve"> 应根据建筑室外环境和本地气候条件展开前期调查，包括但不限于：建筑周边和所在区域大气质量、场地土壤状况、电磁环境、放射性本体和近远期规划情况；</w:t>
      </w:r>
    </w:p>
    <w:p w14:paraId="07A11B67">
      <w:pPr>
        <w:spacing w:before="120" w:after="120" w:line="312" w:lineRule="auto"/>
        <w:ind w:firstLine="482" w:firstLineChars="200"/>
        <w:rPr>
          <w:sz w:val="24"/>
          <w:szCs w:val="24"/>
        </w:rPr>
      </w:pPr>
      <w:r>
        <w:rPr>
          <w:b/>
          <w:bCs/>
          <w:sz w:val="24"/>
          <w:szCs w:val="24"/>
        </w:rPr>
        <w:t>2</w:t>
      </w:r>
      <w:r>
        <w:rPr>
          <w:sz w:val="24"/>
          <w:szCs w:val="24"/>
        </w:rPr>
        <w:t xml:space="preserve"> 应合理控制建筑体量，优化总平面设计；</w:t>
      </w:r>
    </w:p>
    <w:p w14:paraId="4AA4F830">
      <w:pPr>
        <w:spacing w:before="120" w:after="120" w:line="312" w:lineRule="auto"/>
        <w:ind w:firstLine="482" w:firstLineChars="200"/>
        <w:rPr>
          <w:b/>
          <w:bCs/>
          <w:sz w:val="24"/>
          <w:szCs w:val="24"/>
        </w:rPr>
      </w:pPr>
      <w:r>
        <w:rPr>
          <w:b/>
          <w:bCs/>
          <w:sz w:val="24"/>
          <w:szCs w:val="24"/>
        </w:rPr>
        <w:t>3</w:t>
      </w:r>
      <w:r>
        <w:rPr>
          <w:sz w:val="24"/>
          <w:szCs w:val="24"/>
        </w:rPr>
        <w:t xml:space="preserve"> 应结合建筑布局、立面设计要求、周围环境特征、使用功能需求等因素，进行室外热环境、风环境、声环境和日间及夜间光环境的规划设计。</w:t>
      </w:r>
    </w:p>
    <w:p w14:paraId="35D22500">
      <w:pPr>
        <w:spacing w:before="120" w:after="120" w:line="312" w:lineRule="auto"/>
        <w:rPr>
          <w:sz w:val="24"/>
          <w:szCs w:val="24"/>
        </w:rPr>
      </w:pPr>
      <w:r>
        <w:rPr>
          <w:b/>
          <w:bCs/>
          <w:sz w:val="24"/>
          <w:szCs w:val="24"/>
        </w:rPr>
        <w:t>3.0.4</w:t>
      </w:r>
      <w:r>
        <w:rPr>
          <w:sz w:val="24"/>
          <w:szCs w:val="24"/>
        </w:rPr>
        <w:t xml:space="preserve"> 建筑设计应遵循以下</w:t>
      </w:r>
      <w:r>
        <w:rPr>
          <w:rFonts w:hint="eastAsia"/>
          <w:sz w:val="24"/>
          <w:szCs w:val="24"/>
        </w:rPr>
        <w:t>要求</w:t>
      </w:r>
      <w:r>
        <w:rPr>
          <w:sz w:val="24"/>
          <w:szCs w:val="24"/>
        </w:rPr>
        <w:t>：</w:t>
      </w:r>
    </w:p>
    <w:p w14:paraId="59E2497D">
      <w:pPr>
        <w:spacing w:before="120" w:after="120" w:line="312" w:lineRule="auto"/>
        <w:ind w:firstLine="480"/>
        <w:rPr>
          <w:sz w:val="24"/>
          <w:szCs w:val="24"/>
        </w:rPr>
      </w:pPr>
      <w:r>
        <w:rPr>
          <w:b/>
          <w:bCs/>
          <w:sz w:val="24"/>
          <w:szCs w:val="24"/>
        </w:rPr>
        <w:t>1</w:t>
      </w:r>
      <w:r>
        <w:rPr>
          <w:sz w:val="24"/>
          <w:szCs w:val="24"/>
        </w:rPr>
        <w:t xml:space="preserve"> 应合理设计建筑立面，优化楼层高度，充分考虑室内自然通风和天然采光，并关注相关室内房间的窗外景观；</w:t>
      </w:r>
    </w:p>
    <w:p w14:paraId="592A2E1B">
      <w:pPr>
        <w:spacing w:before="120" w:after="120" w:line="312" w:lineRule="auto"/>
        <w:ind w:firstLine="480"/>
        <w:rPr>
          <w:sz w:val="24"/>
          <w:szCs w:val="24"/>
        </w:rPr>
      </w:pPr>
      <w:r>
        <w:rPr>
          <w:b/>
          <w:bCs/>
          <w:sz w:val="24"/>
          <w:szCs w:val="24"/>
        </w:rPr>
        <w:t xml:space="preserve">2 </w:t>
      </w:r>
      <w:r>
        <w:rPr>
          <w:sz w:val="24"/>
          <w:szCs w:val="24"/>
        </w:rPr>
        <w:t>应合理规划外区、内区布局，设计适当的空间尺寸，优化室内空间设计，并做好日照设计；</w:t>
      </w:r>
    </w:p>
    <w:p w14:paraId="423798A7">
      <w:pPr>
        <w:spacing w:before="120" w:after="120" w:line="312" w:lineRule="auto"/>
        <w:ind w:firstLine="480"/>
        <w:rPr>
          <w:sz w:val="24"/>
          <w:szCs w:val="24"/>
        </w:rPr>
      </w:pPr>
      <w:r>
        <w:rPr>
          <w:b/>
          <w:bCs/>
          <w:sz w:val="24"/>
          <w:szCs w:val="24"/>
        </w:rPr>
        <w:t xml:space="preserve">3 </w:t>
      </w:r>
      <w:r>
        <w:rPr>
          <w:sz w:val="24"/>
          <w:szCs w:val="24"/>
        </w:rPr>
        <w:t>应合理设计围护结构，进行室内自然通风、天然采光、建筑热工及建筑声学设计；</w:t>
      </w:r>
    </w:p>
    <w:p w14:paraId="69E80626">
      <w:pPr>
        <w:spacing w:before="120" w:after="120" w:line="312" w:lineRule="auto"/>
        <w:ind w:firstLine="480"/>
        <w:rPr>
          <w:b/>
          <w:bCs/>
          <w:sz w:val="24"/>
          <w:szCs w:val="24"/>
        </w:rPr>
      </w:pPr>
      <w:r>
        <w:rPr>
          <w:b/>
          <w:bCs/>
          <w:sz w:val="24"/>
          <w:szCs w:val="24"/>
        </w:rPr>
        <w:t xml:space="preserve">4 </w:t>
      </w:r>
      <w:r>
        <w:rPr>
          <w:sz w:val="24"/>
          <w:szCs w:val="24"/>
        </w:rPr>
        <w:t>应同时进行无障碍设施和防护栏杆设计，确保设计的全面性和安全性。</w:t>
      </w:r>
    </w:p>
    <w:p w14:paraId="0540C496">
      <w:pPr>
        <w:spacing w:before="120" w:after="120" w:line="312" w:lineRule="auto"/>
        <w:rPr>
          <w:sz w:val="24"/>
          <w:szCs w:val="24"/>
        </w:rPr>
      </w:pPr>
      <w:r>
        <w:rPr>
          <w:b/>
          <w:bCs/>
          <w:sz w:val="24"/>
          <w:szCs w:val="24"/>
        </w:rPr>
        <w:t>3.0.5</w:t>
      </w:r>
      <w:r>
        <w:rPr>
          <w:sz w:val="24"/>
          <w:szCs w:val="24"/>
        </w:rPr>
        <w:t xml:space="preserve"> 建筑室内装饰装修应充分考虑室内空间布局设计，注重地域文化特色，确保空间功能与文化艺术、建筑风格的协调统一，并注重空间场景和气氛的营造。装饰装修设计应从体系、安全性、耐久性、舒适性和健康性等多个维度进行综合考量，确保门窗、地面、楼面、墙面、室内装饰、卫生间、厨房、管道等设计的合理性和施工安装的规范性。</w:t>
      </w:r>
    </w:p>
    <w:p w14:paraId="42BACBAD">
      <w:pPr>
        <w:spacing w:before="120" w:after="120" w:line="312" w:lineRule="auto"/>
        <w:rPr>
          <w:b/>
          <w:bCs/>
          <w:sz w:val="24"/>
          <w:szCs w:val="24"/>
        </w:rPr>
      </w:pPr>
      <w:r>
        <w:rPr>
          <w:b/>
          <w:bCs/>
          <w:sz w:val="24"/>
          <w:szCs w:val="24"/>
        </w:rPr>
        <w:t>3.0.6</w:t>
      </w:r>
      <w:r>
        <w:rPr>
          <w:sz w:val="24"/>
          <w:szCs w:val="24"/>
        </w:rPr>
        <w:t xml:space="preserve"> 建筑设备的设计、安装、调试和运行应确保自然通风和机械通风系统在室内温湿度协同控制方面的有效配合。应根据不同空间的规模、功能及场景要求，合理组织气流，精</w:t>
      </w:r>
      <w:r>
        <w:rPr>
          <w:rFonts w:hint="eastAsia"/>
          <w:sz w:val="24"/>
          <w:szCs w:val="24"/>
        </w:rPr>
        <w:t>准</w:t>
      </w:r>
      <w:r>
        <w:rPr>
          <w:sz w:val="24"/>
          <w:szCs w:val="24"/>
        </w:rPr>
        <w:t>控制温湿度；同时，确保自然采光和室内照明的协同控制，优化室内空气质量与新风供给，控制设备噪声并优化室内声环境。设备的运行应满足上述要求，确保室内环境的舒适性与健康性。</w:t>
      </w:r>
    </w:p>
    <w:p w14:paraId="13248FA8">
      <w:pPr>
        <w:spacing w:before="120" w:after="120" w:line="312" w:lineRule="auto"/>
        <w:rPr>
          <w:sz w:val="24"/>
          <w:szCs w:val="24"/>
        </w:rPr>
      </w:pPr>
      <w:r>
        <w:rPr>
          <w:b/>
          <w:bCs/>
          <w:sz w:val="24"/>
          <w:szCs w:val="24"/>
        </w:rPr>
        <w:t>3.0.7</w:t>
      </w:r>
      <w:r>
        <w:rPr>
          <w:sz w:val="24"/>
          <w:szCs w:val="24"/>
        </w:rPr>
        <w:t xml:space="preserve"> 运行维护应按照建筑功能、场景与设计要求，设置合理的室内环境运行参数，按照运行手册进行操作有效营造室内环境，科学管理设备系统，确保设备的日常维护与维修工作到位。应采用智慧运行管理平台，实时监控和分析运行数据，积累相关反馈信息，持续优化运行效果，不断提升室内环境质量与设备运行效率。</w:t>
      </w:r>
    </w:p>
    <w:p w14:paraId="7CA7D168">
      <w:pPr>
        <w:spacing w:before="120" w:after="120" w:line="312" w:lineRule="auto"/>
        <w:rPr>
          <w:sz w:val="24"/>
          <w:szCs w:val="24"/>
        </w:rPr>
      </w:pPr>
      <w:r>
        <w:rPr>
          <w:sz w:val="24"/>
          <w:szCs w:val="24"/>
        </w:rPr>
        <w:br w:type="page"/>
      </w:r>
    </w:p>
    <w:p w14:paraId="4D197785">
      <w:pPr>
        <w:spacing w:before="120" w:after="120" w:line="312" w:lineRule="auto"/>
        <w:jc w:val="center"/>
        <w:outlineLvl w:val="0"/>
        <w:rPr>
          <w:b/>
          <w:bCs/>
          <w:sz w:val="28"/>
          <w:szCs w:val="28"/>
        </w:rPr>
      </w:pPr>
      <w:bookmarkStart w:id="67" w:name="_Toc8947"/>
      <w:bookmarkStart w:id="68" w:name="_Toc16154"/>
      <w:bookmarkStart w:id="69" w:name="_Toc201158882"/>
      <w:bookmarkStart w:id="70" w:name="_Toc20394"/>
      <w:bookmarkStart w:id="71" w:name="_Toc7318"/>
      <w:bookmarkStart w:id="72" w:name="_Toc1280"/>
      <w:bookmarkStart w:id="73" w:name="_Toc27600"/>
      <w:bookmarkStart w:id="74" w:name="_Toc27293"/>
      <w:bookmarkStart w:id="75" w:name="_Toc7647"/>
      <w:bookmarkStart w:id="76" w:name="_Toc4999"/>
      <w:bookmarkStart w:id="77" w:name="_Toc23515"/>
      <w:r>
        <w:rPr>
          <w:b/>
          <w:bCs/>
          <w:sz w:val="28"/>
          <w:szCs w:val="28"/>
        </w:rPr>
        <w:t>4 环境指标</w:t>
      </w:r>
      <w:bookmarkEnd w:id="67"/>
      <w:bookmarkEnd w:id="68"/>
      <w:bookmarkEnd w:id="69"/>
      <w:bookmarkEnd w:id="70"/>
      <w:bookmarkEnd w:id="71"/>
      <w:bookmarkEnd w:id="72"/>
      <w:bookmarkEnd w:id="73"/>
      <w:bookmarkEnd w:id="74"/>
      <w:bookmarkEnd w:id="75"/>
      <w:bookmarkEnd w:id="76"/>
      <w:bookmarkEnd w:id="77"/>
    </w:p>
    <w:p w14:paraId="650B0327">
      <w:pPr>
        <w:spacing w:before="120" w:after="120" w:line="312" w:lineRule="auto"/>
        <w:jc w:val="center"/>
        <w:outlineLvl w:val="1"/>
        <w:rPr>
          <w:b/>
          <w:bCs/>
          <w:sz w:val="24"/>
          <w:szCs w:val="24"/>
        </w:rPr>
      </w:pPr>
      <w:bookmarkStart w:id="78" w:name="_Toc5352"/>
      <w:bookmarkStart w:id="79" w:name="_Toc25724"/>
      <w:bookmarkStart w:id="80" w:name="_Toc19970"/>
      <w:bookmarkStart w:id="81" w:name="_Toc18786"/>
      <w:bookmarkStart w:id="82" w:name="_Toc32230"/>
      <w:bookmarkStart w:id="83" w:name="_Toc201158883"/>
      <w:bookmarkStart w:id="84" w:name="_Toc10841"/>
      <w:bookmarkStart w:id="85" w:name="_Toc23831"/>
      <w:bookmarkStart w:id="86" w:name="_Toc27848"/>
      <w:bookmarkStart w:id="87" w:name="_Toc28095"/>
      <w:bookmarkStart w:id="88" w:name="_Toc11269"/>
      <w:r>
        <w:rPr>
          <w:b/>
          <w:bCs/>
          <w:sz w:val="24"/>
          <w:szCs w:val="24"/>
        </w:rPr>
        <w:t>4.1 一般规定</w:t>
      </w:r>
      <w:bookmarkEnd w:id="78"/>
      <w:bookmarkEnd w:id="79"/>
      <w:bookmarkEnd w:id="80"/>
      <w:bookmarkEnd w:id="81"/>
      <w:bookmarkEnd w:id="82"/>
      <w:bookmarkEnd w:id="83"/>
      <w:bookmarkEnd w:id="84"/>
      <w:bookmarkEnd w:id="85"/>
      <w:bookmarkEnd w:id="86"/>
      <w:bookmarkEnd w:id="87"/>
      <w:bookmarkEnd w:id="88"/>
    </w:p>
    <w:p w14:paraId="7284E733">
      <w:pPr>
        <w:spacing w:before="120" w:after="120" w:line="312" w:lineRule="auto"/>
        <w:rPr>
          <w:sz w:val="24"/>
          <w:szCs w:val="24"/>
        </w:rPr>
      </w:pPr>
      <w:bookmarkStart w:id="89" w:name="_Toc16555"/>
      <w:r>
        <w:rPr>
          <w:b/>
          <w:bCs/>
          <w:sz w:val="24"/>
          <w:szCs w:val="24"/>
        </w:rPr>
        <w:t>4.1.1</w:t>
      </w:r>
      <w:r>
        <w:rPr>
          <w:sz w:val="24"/>
          <w:szCs w:val="24"/>
        </w:rPr>
        <w:t xml:space="preserve"> 建筑室内环境指标应根据室内空间功能确定。工作环境应注重舒适性和高效性，确保良好的工作状态；学习环境应提供舒适、宁静的氛围，促进专注与学习；居住环境应营造舒适、温馨的氛围，提升居住者的生活质量。</w:t>
      </w:r>
      <w:bookmarkEnd w:id="89"/>
    </w:p>
    <w:p w14:paraId="6FA68F47">
      <w:pPr>
        <w:spacing w:before="120" w:after="120" w:line="312" w:lineRule="auto"/>
        <w:rPr>
          <w:sz w:val="24"/>
          <w:szCs w:val="24"/>
        </w:rPr>
      </w:pPr>
      <w:bookmarkStart w:id="90" w:name="_Toc29004"/>
      <w:r>
        <w:rPr>
          <w:b/>
          <w:bCs/>
          <w:sz w:val="24"/>
          <w:szCs w:val="24"/>
        </w:rPr>
        <w:t>4.1.2</w:t>
      </w:r>
      <w:r>
        <w:rPr>
          <w:sz w:val="24"/>
          <w:szCs w:val="24"/>
        </w:rPr>
        <w:t xml:space="preserve"> 人员长期驻留的空间应符合物理环境</w:t>
      </w:r>
      <w:r>
        <w:rPr>
          <w:rFonts w:hint="eastAsia"/>
          <w:sz w:val="24"/>
          <w:szCs w:val="24"/>
        </w:rPr>
        <w:t>、</w:t>
      </w:r>
      <w:r>
        <w:rPr>
          <w:sz w:val="24"/>
          <w:szCs w:val="24"/>
        </w:rPr>
        <w:t>化学环境</w:t>
      </w:r>
      <w:r>
        <w:rPr>
          <w:rFonts w:hint="eastAsia"/>
          <w:sz w:val="24"/>
          <w:szCs w:val="24"/>
        </w:rPr>
        <w:t>和生物环境</w:t>
      </w:r>
      <w:r>
        <w:rPr>
          <w:sz w:val="24"/>
          <w:szCs w:val="24"/>
        </w:rPr>
        <w:t>的要求，同时宜满足精神环境和人本关怀的相关要求。</w:t>
      </w:r>
      <w:bookmarkEnd w:id="90"/>
    </w:p>
    <w:p w14:paraId="63D38B74">
      <w:pPr>
        <w:spacing w:before="120" w:after="120" w:line="312" w:lineRule="auto"/>
        <w:rPr>
          <w:sz w:val="24"/>
          <w:szCs w:val="24"/>
        </w:rPr>
      </w:pPr>
      <w:bookmarkStart w:id="91" w:name="_Toc20810"/>
      <w:r>
        <w:rPr>
          <w:b/>
          <w:bCs/>
          <w:sz w:val="24"/>
          <w:szCs w:val="24"/>
        </w:rPr>
        <w:t>4.1.3</w:t>
      </w:r>
      <w:r>
        <w:rPr>
          <w:sz w:val="24"/>
          <w:szCs w:val="24"/>
        </w:rPr>
        <w:t xml:space="preserve"> 公共场所、大空间及超大空间应满足光环境、声环境、化学环境和精神环境的要求，同时宜满足热环境、生物环境和人本关怀的相关要求。</w:t>
      </w:r>
      <w:bookmarkEnd w:id="91"/>
    </w:p>
    <w:p w14:paraId="4599DA4D">
      <w:pPr>
        <w:spacing w:before="120" w:after="120" w:line="312" w:lineRule="auto"/>
        <w:rPr>
          <w:sz w:val="24"/>
          <w:szCs w:val="24"/>
        </w:rPr>
      </w:pPr>
      <w:bookmarkStart w:id="92" w:name="_Toc1435"/>
      <w:r>
        <w:rPr>
          <w:b/>
          <w:bCs/>
          <w:sz w:val="24"/>
          <w:szCs w:val="24"/>
        </w:rPr>
        <w:t>4.1.4</w:t>
      </w:r>
      <w:r>
        <w:rPr>
          <w:sz w:val="24"/>
          <w:szCs w:val="24"/>
        </w:rPr>
        <w:t xml:space="preserve"> 走廊、过道、卫生间等一般公共空间应满足化学环境、放射性环境和人本关怀的要求。</w:t>
      </w:r>
      <w:bookmarkEnd w:id="92"/>
    </w:p>
    <w:p w14:paraId="3A588ACC">
      <w:pPr>
        <w:spacing w:before="120" w:after="120" w:line="312" w:lineRule="auto"/>
        <w:rPr>
          <w:sz w:val="24"/>
          <w:szCs w:val="24"/>
        </w:rPr>
      </w:pPr>
    </w:p>
    <w:p w14:paraId="71D1913E">
      <w:pPr>
        <w:spacing w:before="120" w:after="120" w:line="312" w:lineRule="auto"/>
        <w:jc w:val="center"/>
        <w:outlineLvl w:val="1"/>
        <w:rPr>
          <w:b/>
          <w:bCs/>
          <w:sz w:val="24"/>
          <w:szCs w:val="24"/>
        </w:rPr>
      </w:pPr>
      <w:bookmarkStart w:id="93" w:name="_Toc31367"/>
      <w:bookmarkStart w:id="94" w:name="_Toc25554"/>
      <w:bookmarkStart w:id="95" w:name="_Toc22857"/>
      <w:bookmarkStart w:id="96" w:name="_Toc11769"/>
      <w:bookmarkStart w:id="97" w:name="_Toc9548"/>
      <w:bookmarkStart w:id="98" w:name="_Toc201158884"/>
      <w:bookmarkStart w:id="99" w:name="_Toc12028"/>
      <w:bookmarkStart w:id="100" w:name="_Toc20212"/>
      <w:bookmarkStart w:id="101" w:name="_Toc29829"/>
      <w:bookmarkStart w:id="102" w:name="_Toc26131"/>
      <w:bookmarkStart w:id="103" w:name="_Toc9816"/>
      <w:r>
        <w:rPr>
          <w:b/>
          <w:bCs/>
          <w:sz w:val="24"/>
          <w:szCs w:val="24"/>
        </w:rPr>
        <w:t>4.2 物理环境</w:t>
      </w:r>
      <w:bookmarkEnd w:id="93"/>
      <w:bookmarkEnd w:id="94"/>
      <w:bookmarkEnd w:id="95"/>
      <w:bookmarkEnd w:id="96"/>
      <w:bookmarkEnd w:id="97"/>
      <w:bookmarkEnd w:id="98"/>
      <w:bookmarkEnd w:id="99"/>
      <w:bookmarkEnd w:id="100"/>
      <w:bookmarkEnd w:id="101"/>
      <w:bookmarkEnd w:id="102"/>
      <w:bookmarkEnd w:id="103"/>
    </w:p>
    <w:p w14:paraId="0FBDEF43">
      <w:pPr>
        <w:spacing w:before="120" w:after="120" w:line="312" w:lineRule="auto"/>
        <w:jc w:val="center"/>
        <w:rPr>
          <w:b/>
          <w:bCs/>
          <w:sz w:val="24"/>
          <w:szCs w:val="24"/>
        </w:rPr>
      </w:pPr>
      <w:bookmarkStart w:id="104" w:name="_Toc24160"/>
      <w:bookmarkStart w:id="105" w:name="_Toc201158885"/>
      <w:r>
        <w:rPr>
          <w:b/>
          <w:bCs/>
          <w:sz w:val="24"/>
          <w:szCs w:val="24"/>
        </w:rPr>
        <w:t>Ⅰ 热环境</w:t>
      </w:r>
      <w:bookmarkEnd w:id="104"/>
      <w:bookmarkEnd w:id="105"/>
    </w:p>
    <w:p w14:paraId="04909B03">
      <w:pPr>
        <w:spacing w:before="120" w:after="120" w:line="312" w:lineRule="auto"/>
        <w:rPr>
          <w:sz w:val="24"/>
          <w:szCs w:val="24"/>
        </w:rPr>
      </w:pPr>
      <w:r>
        <w:rPr>
          <w:b/>
          <w:bCs/>
          <w:sz w:val="24"/>
          <w:szCs w:val="24"/>
        </w:rPr>
        <w:t>4.2.1</w:t>
      </w:r>
      <w:r>
        <w:rPr>
          <w:sz w:val="24"/>
          <w:szCs w:val="24"/>
        </w:rPr>
        <w:t xml:space="preserve"> 建筑室内热环境应按照《民用建筑室内热湿环境评价标准》GB/T 50785进行评价，并满足表4.2.1的</w:t>
      </w:r>
      <w:r>
        <w:rPr>
          <w:rFonts w:hint="eastAsia"/>
          <w:sz w:val="24"/>
          <w:szCs w:val="24"/>
        </w:rPr>
        <w:t>规定</w:t>
      </w:r>
      <w:r>
        <w:rPr>
          <w:sz w:val="24"/>
          <w:szCs w:val="24"/>
        </w:rPr>
        <w:t>。</w:t>
      </w:r>
    </w:p>
    <w:p w14:paraId="3A976203">
      <w:pPr>
        <w:spacing w:before="120" w:after="120" w:line="312" w:lineRule="auto"/>
        <w:jc w:val="center"/>
        <w:rPr>
          <w:rFonts w:hint="eastAsia" w:ascii="黑体" w:hAnsi="黑体" w:eastAsia="黑体" w:cs="黑体"/>
          <w:sz w:val="24"/>
          <w:szCs w:val="24"/>
        </w:rPr>
      </w:pPr>
      <w:bookmarkStart w:id="106" w:name="_Hlk160139319"/>
      <w:r>
        <w:rPr>
          <w:rFonts w:hint="eastAsia" w:ascii="黑体" w:hAnsi="黑体" w:eastAsia="黑体" w:cs="黑体"/>
          <w:sz w:val="24"/>
          <w:szCs w:val="24"/>
        </w:rPr>
        <w:t>表4.2.1-1 全年龄段建筑客观热湿指标</w:t>
      </w:r>
      <w:bookmarkEnd w:id="106"/>
      <w:r>
        <w:rPr>
          <w:rFonts w:hint="eastAsia" w:ascii="黑体" w:hAnsi="黑体" w:eastAsia="黑体" w:cs="黑体"/>
          <w:sz w:val="24"/>
          <w:szCs w:val="24"/>
        </w:rPr>
        <w:t>规定</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2841"/>
        <w:gridCol w:w="2207"/>
      </w:tblGrid>
      <w:tr w14:paraId="36ED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5C97CF1A">
            <w:pPr>
              <w:jc w:val="center"/>
              <w:rPr>
                <w:b/>
                <w:bCs/>
                <w:szCs w:val="21"/>
              </w:rPr>
            </w:pPr>
            <w:r>
              <w:rPr>
                <w:szCs w:val="21"/>
              </w:rPr>
              <w:t>指标</w:t>
            </w:r>
          </w:p>
        </w:tc>
        <w:tc>
          <w:tcPr>
            <w:tcW w:w="2841" w:type="dxa"/>
            <w:vAlign w:val="center"/>
          </w:tcPr>
          <w:p w14:paraId="46F0F342">
            <w:pPr>
              <w:jc w:val="center"/>
              <w:rPr>
                <w:b/>
                <w:bCs/>
                <w:szCs w:val="21"/>
              </w:rPr>
            </w:pPr>
            <w:r>
              <w:rPr>
                <w:szCs w:val="21"/>
              </w:rPr>
              <w:t>要求</w:t>
            </w:r>
          </w:p>
        </w:tc>
        <w:tc>
          <w:tcPr>
            <w:tcW w:w="2207" w:type="dxa"/>
            <w:vAlign w:val="center"/>
          </w:tcPr>
          <w:p w14:paraId="24B10A83">
            <w:pPr>
              <w:jc w:val="center"/>
              <w:rPr>
                <w:b/>
                <w:bCs/>
                <w:szCs w:val="21"/>
              </w:rPr>
            </w:pPr>
            <w:r>
              <w:rPr>
                <w:szCs w:val="21"/>
              </w:rPr>
              <w:t>满足条件面积比例</w:t>
            </w:r>
          </w:p>
        </w:tc>
      </w:tr>
      <w:tr w14:paraId="2A30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023" w:type="dxa"/>
            <w:vMerge w:val="restart"/>
            <w:vAlign w:val="center"/>
          </w:tcPr>
          <w:p w14:paraId="3F3611AA">
            <w:pPr>
              <w:jc w:val="center"/>
              <w:rPr>
                <w:b/>
                <w:bCs/>
                <w:szCs w:val="21"/>
              </w:rPr>
            </w:pPr>
            <w:r>
              <w:rPr>
                <w:szCs w:val="21"/>
              </w:rPr>
              <w:t>空气温度</w:t>
            </w:r>
            <w:r>
              <w:rPr>
                <w:rFonts w:hint="eastAsia"/>
                <w:szCs w:val="21"/>
              </w:rPr>
              <w:t>（℃）</w:t>
            </w:r>
          </w:p>
        </w:tc>
        <w:tc>
          <w:tcPr>
            <w:tcW w:w="2841" w:type="dxa"/>
            <w:vAlign w:val="center"/>
          </w:tcPr>
          <w:p w14:paraId="18506B18">
            <w:pPr>
              <w:jc w:val="center"/>
              <w:rPr>
                <w:b/>
                <w:bCs/>
                <w:szCs w:val="21"/>
              </w:rPr>
            </w:pPr>
            <w:r>
              <w:rPr>
                <w:szCs w:val="21"/>
              </w:rPr>
              <w:t>夏季：不超过28℃</w:t>
            </w:r>
          </w:p>
        </w:tc>
        <w:tc>
          <w:tcPr>
            <w:tcW w:w="2207" w:type="dxa"/>
            <w:vMerge w:val="restart"/>
            <w:vAlign w:val="center"/>
          </w:tcPr>
          <w:p w14:paraId="6029445E">
            <w:pPr>
              <w:jc w:val="center"/>
              <w:rPr>
                <w:b/>
                <w:bCs/>
                <w:szCs w:val="21"/>
              </w:rPr>
            </w:pPr>
            <w:r>
              <w:rPr>
                <w:szCs w:val="21"/>
              </w:rPr>
              <w:t>80%</w:t>
            </w:r>
          </w:p>
        </w:tc>
      </w:tr>
      <w:tr w14:paraId="3365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023" w:type="dxa"/>
            <w:vMerge w:val="continue"/>
            <w:vAlign w:val="center"/>
          </w:tcPr>
          <w:p w14:paraId="2BC45C65">
            <w:pPr>
              <w:jc w:val="center"/>
              <w:rPr>
                <w:b/>
                <w:bCs/>
                <w:szCs w:val="21"/>
              </w:rPr>
            </w:pPr>
          </w:p>
        </w:tc>
        <w:tc>
          <w:tcPr>
            <w:tcW w:w="2841" w:type="dxa"/>
            <w:vAlign w:val="center"/>
          </w:tcPr>
          <w:p w14:paraId="271967B5">
            <w:pPr>
              <w:jc w:val="center"/>
              <w:rPr>
                <w:b/>
                <w:bCs/>
                <w:szCs w:val="21"/>
              </w:rPr>
            </w:pPr>
            <w:r>
              <w:rPr>
                <w:szCs w:val="21"/>
              </w:rPr>
              <w:t>冬季：不低于16℃</w:t>
            </w:r>
          </w:p>
        </w:tc>
        <w:tc>
          <w:tcPr>
            <w:tcW w:w="2207" w:type="dxa"/>
            <w:vMerge w:val="continue"/>
            <w:vAlign w:val="center"/>
          </w:tcPr>
          <w:p w14:paraId="14AC5C81">
            <w:pPr>
              <w:jc w:val="center"/>
              <w:rPr>
                <w:b/>
                <w:bCs/>
                <w:szCs w:val="21"/>
              </w:rPr>
            </w:pPr>
          </w:p>
        </w:tc>
      </w:tr>
      <w:tr w14:paraId="0700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2023" w:type="dxa"/>
            <w:vAlign w:val="center"/>
          </w:tcPr>
          <w:p w14:paraId="57271406">
            <w:pPr>
              <w:jc w:val="center"/>
              <w:rPr>
                <w:b/>
                <w:bCs/>
                <w:szCs w:val="21"/>
              </w:rPr>
            </w:pPr>
            <w:r>
              <w:rPr>
                <w:szCs w:val="21"/>
              </w:rPr>
              <w:t>相对湿度</w:t>
            </w:r>
            <w:r>
              <w:rPr>
                <w:rFonts w:hint="eastAsia"/>
                <w:szCs w:val="21"/>
              </w:rPr>
              <w:t>（%）</w:t>
            </w:r>
          </w:p>
        </w:tc>
        <w:tc>
          <w:tcPr>
            <w:tcW w:w="2841" w:type="dxa"/>
            <w:vAlign w:val="center"/>
          </w:tcPr>
          <w:p w14:paraId="11381CAC">
            <w:pPr>
              <w:jc w:val="center"/>
              <w:rPr>
                <w:b/>
                <w:bCs/>
                <w:szCs w:val="21"/>
              </w:rPr>
            </w:pPr>
            <w:r>
              <w:rPr>
                <w:szCs w:val="21"/>
              </w:rPr>
              <w:t>40%≤</w:t>
            </w:r>
            <w:r>
              <w:rPr>
                <w:i/>
                <w:iCs/>
                <w:szCs w:val="21"/>
              </w:rPr>
              <w:t>RH</w:t>
            </w:r>
            <w:r>
              <w:rPr>
                <w:szCs w:val="21"/>
              </w:rPr>
              <w:t>≤70%</w:t>
            </w:r>
          </w:p>
        </w:tc>
        <w:tc>
          <w:tcPr>
            <w:tcW w:w="2207" w:type="dxa"/>
            <w:vMerge w:val="continue"/>
            <w:vAlign w:val="center"/>
          </w:tcPr>
          <w:p w14:paraId="30B0BAF1">
            <w:pPr>
              <w:jc w:val="center"/>
              <w:rPr>
                <w:b/>
                <w:bCs/>
                <w:szCs w:val="21"/>
              </w:rPr>
            </w:pPr>
          </w:p>
        </w:tc>
      </w:tr>
      <w:tr w14:paraId="536B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389B4A69">
            <w:pPr>
              <w:jc w:val="center"/>
              <w:rPr>
                <w:b/>
                <w:bCs/>
                <w:szCs w:val="21"/>
              </w:rPr>
            </w:pPr>
            <w:r>
              <w:rPr>
                <w:szCs w:val="21"/>
              </w:rPr>
              <w:t>新风换气量</w:t>
            </w:r>
            <w:r>
              <w:rPr>
                <w:rFonts w:hint="eastAsia"/>
                <w:szCs w:val="21"/>
              </w:rPr>
              <w:t>（㎡）</w:t>
            </w:r>
          </w:p>
        </w:tc>
        <w:tc>
          <w:tcPr>
            <w:tcW w:w="2841" w:type="dxa"/>
            <w:vAlign w:val="center"/>
          </w:tcPr>
          <w:p w14:paraId="3882622E">
            <w:pPr>
              <w:jc w:val="center"/>
              <w:rPr>
                <w:szCs w:val="21"/>
              </w:rPr>
            </w:pPr>
            <w:r>
              <w:rPr>
                <w:szCs w:val="21"/>
              </w:rPr>
              <w:t>≥30m</w:t>
            </w:r>
            <w:r>
              <w:rPr>
                <w:szCs w:val="21"/>
                <w:vertAlign w:val="superscript"/>
              </w:rPr>
              <w:t>2</w:t>
            </w:r>
            <w:r>
              <w:rPr>
                <w:szCs w:val="21"/>
              </w:rPr>
              <w:t>/人,</w:t>
            </w:r>
          </w:p>
          <w:p w14:paraId="7CFD55D9">
            <w:pPr>
              <w:jc w:val="center"/>
              <w:rPr>
                <w:b/>
                <w:bCs/>
                <w:szCs w:val="21"/>
              </w:rPr>
            </w:pPr>
            <w:r>
              <w:rPr>
                <w:szCs w:val="21"/>
              </w:rPr>
              <w:t>且换气次数 ≥2次/小时</w:t>
            </w:r>
          </w:p>
        </w:tc>
        <w:tc>
          <w:tcPr>
            <w:tcW w:w="2207" w:type="dxa"/>
            <w:vAlign w:val="center"/>
          </w:tcPr>
          <w:p w14:paraId="1DD36F8D">
            <w:pPr>
              <w:jc w:val="center"/>
              <w:rPr>
                <w:b/>
                <w:bCs/>
                <w:szCs w:val="21"/>
              </w:rPr>
            </w:pPr>
            <w:r>
              <w:rPr>
                <w:szCs w:val="21"/>
              </w:rPr>
              <w:t>/</w:t>
            </w:r>
          </w:p>
        </w:tc>
      </w:tr>
      <w:tr w14:paraId="2724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Merge w:val="restart"/>
            <w:vAlign w:val="center"/>
          </w:tcPr>
          <w:p w14:paraId="55CF96CB">
            <w:pPr>
              <w:jc w:val="center"/>
              <w:rPr>
                <w:szCs w:val="21"/>
              </w:rPr>
            </w:pPr>
            <w:r>
              <w:rPr>
                <w:szCs w:val="21"/>
              </w:rPr>
              <w:t>室内风速</w:t>
            </w:r>
            <w:r>
              <w:rPr>
                <w:rFonts w:hint="eastAsia"/>
                <w:szCs w:val="21"/>
              </w:rPr>
              <w:t>（ m/s）</w:t>
            </w:r>
          </w:p>
          <w:p w14:paraId="17D8DF50">
            <w:pPr>
              <w:jc w:val="center"/>
              <w:rPr>
                <w:b/>
                <w:bCs/>
                <w:szCs w:val="21"/>
              </w:rPr>
            </w:pPr>
            <w:r>
              <w:rPr>
                <w:szCs w:val="21"/>
              </w:rPr>
              <w:t>（机械通风）</w:t>
            </w:r>
          </w:p>
        </w:tc>
        <w:tc>
          <w:tcPr>
            <w:tcW w:w="2841" w:type="dxa"/>
            <w:vAlign w:val="center"/>
          </w:tcPr>
          <w:p w14:paraId="75FBB34F">
            <w:pPr>
              <w:jc w:val="center"/>
              <w:rPr>
                <w:b/>
                <w:bCs/>
                <w:szCs w:val="21"/>
              </w:rPr>
            </w:pPr>
            <w:r>
              <w:rPr>
                <w:szCs w:val="21"/>
              </w:rPr>
              <w:t>夏季：≤0.5 m/s</w:t>
            </w:r>
          </w:p>
        </w:tc>
        <w:tc>
          <w:tcPr>
            <w:tcW w:w="2207" w:type="dxa"/>
            <w:vMerge w:val="restart"/>
            <w:vAlign w:val="center"/>
          </w:tcPr>
          <w:p w14:paraId="541AE731">
            <w:pPr>
              <w:jc w:val="center"/>
              <w:rPr>
                <w:b/>
                <w:bCs/>
                <w:szCs w:val="21"/>
              </w:rPr>
            </w:pPr>
            <w:r>
              <w:rPr>
                <w:szCs w:val="21"/>
              </w:rPr>
              <w:t>80%</w:t>
            </w:r>
          </w:p>
        </w:tc>
      </w:tr>
      <w:tr w14:paraId="075C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3" w:type="dxa"/>
            <w:vMerge w:val="continue"/>
          </w:tcPr>
          <w:p w14:paraId="31377C8F">
            <w:pPr>
              <w:jc w:val="center"/>
              <w:rPr>
                <w:b/>
                <w:bCs/>
                <w:szCs w:val="21"/>
              </w:rPr>
            </w:pPr>
          </w:p>
        </w:tc>
        <w:tc>
          <w:tcPr>
            <w:tcW w:w="2841" w:type="dxa"/>
          </w:tcPr>
          <w:p w14:paraId="38B24C25">
            <w:pPr>
              <w:jc w:val="center"/>
              <w:rPr>
                <w:b/>
                <w:bCs/>
                <w:szCs w:val="21"/>
              </w:rPr>
            </w:pPr>
            <w:r>
              <w:rPr>
                <w:szCs w:val="21"/>
              </w:rPr>
              <w:t>冬季：≤0.3 m/s</w:t>
            </w:r>
          </w:p>
        </w:tc>
        <w:tc>
          <w:tcPr>
            <w:tcW w:w="2207" w:type="dxa"/>
            <w:vMerge w:val="continue"/>
          </w:tcPr>
          <w:p w14:paraId="2B200B3F">
            <w:pPr>
              <w:jc w:val="center"/>
              <w:rPr>
                <w:b/>
                <w:bCs/>
                <w:szCs w:val="21"/>
              </w:rPr>
            </w:pPr>
          </w:p>
        </w:tc>
      </w:tr>
      <w:tr w14:paraId="4D73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023" w:type="dxa"/>
          </w:tcPr>
          <w:p w14:paraId="7A34B9DC">
            <w:pPr>
              <w:jc w:val="center"/>
              <w:rPr>
                <w:szCs w:val="21"/>
              </w:rPr>
            </w:pPr>
            <w:r>
              <w:rPr>
                <w:szCs w:val="21"/>
              </w:rPr>
              <w:t>室内风速</w:t>
            </w:r>
            <w:r>
              <w:rPr>
                <w:rFonts w:hint="eastAsia"/>
                <w:szCs w:val="21"/>
              </w:rPr>
              <w:t>（ m/s）</w:t>
            </w:r>
          </w:p>
          <w:p w14:paraId="53CB2CF9">
            <w:pPr>
              <w:jc w:val="center"/>
              <w:rPr>
                <w:b/>
                <w:bCs/>
                <w:szCs w:val="21"/>
              </w:rPr>
            </w:pPr>
            <w:r>
              <w:rPr>
                <w:szCs w:val="21"/>
              </w:rPr>
              <w:t>（自然通风）</w:t>
            </w:r>
          </w:p>
        </w:tc>
        <w:tc>
          <w:tcPr>
            <w:tcW w:w="2841" w:type="dxa"/>
            <w:vAlign w:val="center"/>
          </w:tcPr>
          <w:p w14:paraId="348936A2">
            <w:pPr>
              <w:jc w:val="center"/>
              <w:rPr>
                <w:b/>
                <w:bCs/>
                <w:szCs w:val="21"/>
              </w:rPr>
            </w:pPr>
            <w:r>
              <w:rPr>
                <w:szCs w:val="21"/>
              </w:rPr>
              <w:t>≤ 1.5 m/s</w:t>
            </w:r>
          </w:p>
        </w:tc>
        <w:tc>
          <w:tcPr>
            <w:tcW w:w="2207" w:type="dxa"/>
            <w:vMerge w:val="continue"/>
          </w:tcPr>
          <w:p w14:paraId="0F01A717">
            <w:pPr>
              <w:jc w:val="center"/>
              <w:rPr>
                <w:b/>
                <w:bCs/>
                <w:szCs w:val="21"/>
              </w:rPr>
            </w:pPr>
          </w:p>
        </w:tc>
      </w:tr>
      <w:tr w14:paraId="0180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7266A749">
            <w:pPr>
              <w:jc w:val="center"/>
              <w:rPr>
                <w:b/>
                <w:bCs/>
                <w:szCs w:val="21"/>
              </w:rPr>
            </w:pPr>
            <w:r>
              <w:rPr>
                <w:szCs w:val="21"/>
              </w:rPr>
              <w:t>PMV</w:t>
            </w:r>
          </w:p>
        </w:tc>
        <w:tc>
          <w:tcPr>
            <w:tcW w:w="2841" w:type="dxa"/>
            <w:vAlign w:val="center"/>
          </w:tcPr>
          <w:p w14:paraId="672C8D2F">
            <w:pPr>
              <w:jc w:val="center"/>
              <w:rPr>
                <w:b/>
                <w:bCs/>
                <w:szCs w:val="21"/>
              </w:rPr>
            </w:pPr>
            <w:r>
              <w:rPr>
                <w:szCs w:val="21"/>
              </w:rPr>
              <w:t>-1≤</w:t>
            </w:r>
            <w:r>
              <w:rPr>
                <w:i/>
                <w:iCs/>
                <w:szCs w:val="21"/>
              </w:rPr>
              <w:t>PMV</w:t>
            </w:r>
            <w:r>
              <w:rPr>
                <w:szCs w:val="21"/>
              </w:rPr>
              <w:t>≤1</w:t>
            </w:r>
          </w:p>
        </w:tc>
        <w:tc>
          <w:tcPr>
            <w:tcW w:w="2207" w:type="dxa"/>
            <w:vMerge w:val="continue"/>
          </w:tcPr>
          <w:p w14:paraId="3331330B">
            <w:pPr>
              <w:jc w:val="center"/>
              <w:rPr>
                <w:b/>
                <w:bCs/>
                <w:szCs w:val="21"/>
              </w:rPr>
            </w:pPr>
          </w:p>
        </w:tc>
      </w:tr>
      <w:tr w14:paraId="5537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27A170C5">
            <w:pPr>
              <w:jc w:val="center"/>
              <w:rPr>
                <w:b/>
                <w:bCs/>
                <w:szCs w:val="21"/>
              </w:rPr>
            </w:pPr>
            <w:r>
              <w:rPr>
                <w:szCs w:val="21"/>
              </w:rPr>
              <w:t>PPD</w:t>
            </w:r>
          </w:p>
        </w:tc>
        <w:tc>
          <w:tcPr>
            <w:tcW w:w="2841" w:type="dxa"/>
            <w:vAlign w:val="center"/>
          </w:tcPr>
          <w:p w14:paraId="776FFA59">
            <w:pPr>
              <w:jc w:val="center"/>
              <w:rPr>
                <w:b/>
                <w:bCs/>
                <w:szCs w:val="21"/>
              </w:rPr>
            </w:pPr>
            <w:r>
              <w:rPr>
                <w:szCs w:val="21"/>
              </w:rPr>
              <w:t>≤25%</w:t>
            </w:r>
          </w:p>
        </w:tc>
        <w:tc>
          <w:tcPr>
            <w:tcW w:w="2207" w:type="dxa"/>
            <w:vMerge w:val="continue"/>
          </w:tcPr>
          <w:p w14:paraId="1DE42A4C">
            <w:pPr>
              <w:jc w:val="center"/>
              <w:rPr>
                <w:b/>
                <w:bCs/>
                <w:szCs w:val="21"/>
              </w:rPr>
            </w:pPr>
          </w:p>
        </w:tc>
      </w:tr>
      <w:tr w14:paraId="1CCC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4A978DAD">
            <w:pPr>
              <w:jc w:val="center"/>
              <w:rPr>
                <w:b/>
                <w:bCs/>
                <w:szCs w:val="21"/>
              </w:rPr>
            </w:pPr>
            <w:r>
              <w:rPr>
                <w:szCs w:val="21"/>
              </w:rPr>
              <w:t>LPD 1</w:t>
            </w:r>
          </w:p>
        </w:tc>
        <w:tc>
          <w:tcPr>
            <w:tcW w:w="2841" w:type="dxa"/>
            <w:vAlign w:val="center"/>
          </w:tcPr>
          <w:p w14:paraId="332309E1">
            <w:pPr>
              <w:jc w:val="center"/>
              <w:rPr>
                <w:b/>
                <w:bCs/>
                <w:szCs w:val="21"/>
              </w:rPr>
            </w:pPr>
            <w:r>
              <w:rPr>
                <w:szCs w:val="21"/>
              </w:rPr>
              <w:t>≤40%</w:t>
            </w:r>
          </w:p>
        </w:tc>
        <w:tc>
          <w:tcPr>
            <w:tcW w:w="2207" w:type="dxa"/>
            <w:vMerge w:val="continue"/>
          </w:tcPr>
          <w:p w14:paraId="623EC305">
            <w:pPr>
              <w:jc w:val="center"/>
              <w:rPr>
                <w:b/>
                <w:bCs/>
                <w:szCs w:val="21"/>
              </w:rPr>
            </w:pPr>
          </w:p>
        </w:tc>
      </w:tr>
      <w:tr w14:paraId="1375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6C38559D">
            <w:pPr>
              <w:jc w:val="center"/>
              <w:rPr>
                <w:b/>
                <w:bCs/>
                <w:szCs w:val="21"/>
              </w:rPr>
            </w:pPr>
            <w:r>
              <w:rPr>
                <w:szCs w:val="21"/>
              </w:rPr>
              <w:t>LPD 2</w:t>
            </w:r>
          </w:p>
        </w:tc>
        <w:tc>
          <w:tcPr>
            <w:tcW w:w="2841" w:type="dxa"/>
            <w:vAlign w:val="center"/>
          </w:tcPr>
          <w:p w14:paraId="48394792">
            <w:pPr>
              <w:jc w:val="center"/>
              <w:rPr>
                <w:b/>
                <w:bCs/>
                <w:szCs w:val="21"/>
              </w:rPr>
            </w:pPr>
            <w:r>
              <w:rPr>
                <w:szCs w:val="21"/>
              </w:rPr>
              <w:t>≤20%</w:t>
            </w:r>
          </w:p>
        </w:tc>
        <w:tc>
          <w:tcPr>
            <w:tcW w:w="2207" w:type="dxa"/>
            <w:vMerge w:val="continue"/>
          </w:tcPr>
          <w:p w14:paraId="587B764B">
            <w:pPr>
              <w:jc w:val="center"/>
              <w:rPr>
                <w:b/>
                <w:bCs/>
                <w:szCs w:val="21"/>
              </w:rPr>
            </w:pPr>
          </w:p>
        </w:tc>
      </w:tr>
      <w:tr w14:paraId="4ADF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2F50BE47">
            <w:pPr>
              <w:jc w:val="center"/>
              <w:rPr>
                <w:b/>
                <w:bCs/>
                <w:szCs w:val="21"/>
              </w:rPr>
            </w:pPr>
            <w:r>
              <w:rPr>
                <w:szCs w:val="21"/>
              </w:rPr>
              <w:t>LPD 3</w:t>
            </w:r>
          </w:p>
        </w:tc>
        <w:tc>
          <w:tcPr>
            <w:tcW w:w="2841" w:type="dxa"/>
            <w:vAlign w:val="center"/>
          </w:tcPr>
          <w:p w14:paraId="47A076D2">
            <w:pPr>
              <w:jc w:val="center"/>
              <w:rPr>
                <w:b/>
                <w:bCs/>
                <w:szCs w:val="21"/>
              </w:rPr>
            </w:pPr>
            <w:r>
              <w:rPr>
                <w:szCs w:val="21"/>
              </w:rPr>
              <w:t>≤20%</w:t>
            </w:r>
          </w:p>
        </w:tc>
        <w:tc>
          <w:tcPr>
            <w:tcW w:w="2207" w:type="dxa"/>
            <w:vMerge w:val="continue"/>
          </w:tcPr>
          <w:p w14:paraId="71FB25A3">
            <w:pPr>
              <w:jc w:val="center"/>
              <w:rPr>
                <w:b/>
                <w:bCs/>
                <w:szCs w:val="21"/>
              </w:rPr>
            </w:pPr>
          </w:p>
        </w:tc>
      </w:tr>
    </w:tbl>
    <w:p w14:paraId="05B2CB3F">
      <w:pPr>
        <w:spacing w:before="120" w:after="120" w:line="312" w:lineRule="auto"/>
        <w:rPr>
          <w:b/>
          <w:bCs/>
          <w:sz w:val="24"/>
          <w:szCs w:val="24"/>
        </w:rPr>
      </w:pPr>
    </w:p>
    <w:p w14:paraId="372BD799">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表4.2.1-2 适老及幼儿建筑客观热湿指标规定</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2841"/>
        <w:gridCol w:w="2207"/>
      </w:tblGrid>
      <w:tr w14:paraId="151F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27FAECC3">
            <w:pPr>
              <w:jc w:val="center"/>
              <w:rPr>
                <w:szCs w:val="21"/>
              </w:rPr>
            </w:pPr>
            <w:r>
              <w:rPr>
                <w:szCs w:val="21"/>
              </w:rPr>
              <w:t>客观物理指标</w:t>
            </w:r>
          </w:p>
        </w:tc>
        <w:tc>
          <w:tcPr>
            <w:tcW w:w="2841" w:type="dxa"/>
            <w:vAlign w:val="center"/>
          </w:tcPr>
          <w:p w14:paraId="6059C90F">
            <w:pPr>
              <w:jc w:val="center"/>
              <w:rPr>
                <w:szCs w:val="21"/>
              </w:rPr>
            </w:pPr>
            <w:r>
              <w:rPr>
                <w:szCs w:val="21"/>
              </w:rPr>
              <w:t>指标要求</w:t>
            </w:r>
          </w:p>
        </w:tc>
        <w:tc>
          <w:tcPr>
            <w:tcW w:w="2207" w:type="dxa"/>
            <w:vAlign w:val="center"/>
          </w:tcPr>
          <w:p w14:paraId="6F832494">
            <w:pPr>
              <w:jc w:val="center"/>
              <w:rPr>
                <w:szCs w:val="21"/>
              </w:rPr>
            </w:pPr>
            <w:r>
              <w:rPr>
                <w:szCs w:val="21"/>
              </w:rPr>
              <w:t>满足条件面积比例</w:t>
            </w:r>
          </w:p>
        </w:tc>
      </w:tr>
      <w:tr w14:paraId="0C75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Merge w:val="restart"/>
            <w:vAlign w:val="center"/>
          </w:tcPr>
          <w:p w14:paraId="6B74B5F0">
            <w:pPr>
              <w:jc w:val="center"/>
              <w:rPr>
                <w:szCs w:val="21"/>
              </w:rPr>
            </w:pPr>
            <w:r>
              <w:rPr>
                <w:szCs w:val="21"/>
              </w:rPr>
              <w:t>空气温度</w:t>
            </w:r>
            <w:r>
              <w:rPr>
                <w:rFonts w:hint="eastAsia"/>
                <w:szCs w:val="21"/>
              </w:rPr>
              <w:t>（℃）</w:t>
            </w:r>
          </w:p>
        </w:tc>
        <w:tc>
          <w:tcPr>
            <w:tcW w:w="2841" w:type="dxa"/>
            <w:vAlign w:val="center"/>
          </w:tcPr>
          <w:p w14:paraId="7774B3D1">
            <w:pPr>
              <w:jc w:val="center"/>
              <w:rPr>
                <w:szCs w:val="21"/>
              </w:rPr>
            </w:pPr>
            <w:r>
              <w:rPr>
                <w:szCs w:val="21"/>
              </w:rPr>
              <w:t>夏季：不超过28℃</w:t>
            </w:r>
          </w:p>
        </w:tc>
        <w:tc>
          <w:tcPr>
            <w:tcW w:w="2207" w:type="dxa"/>
            <w:vMerge w:val="restart"/>
            <w:vAlign w:val="center"/>
          </w:tcPr>
          <w:p w14:paraId="53234E0A">
            <w:pPr>
              <w:jc w:val="center"/>
              <w:rPr>
                <w:szCs w:val="21"/>
              </w:rPr>
            </w:pPr>
            <w:r>
              <w:rPr>
                <w:szCs w:val="21"/>
              </w:rPr>
              <w:t>90%</w:t>
            </w:r>
          </w:p>
        </w:tc>
      </w:tr>
      <w:tr w14:paraId="6B79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Merge w:val="continue"/>
            <w:vAlign w:val="center"/>
          </w:tcPr>
          <w:p w14:paraId="194F8CD7">
            <w:pPr>
              <w:jc w:val="center"/>
              <w:rPr>
                <w:szCs w:val="21"/>
              </w:rPr>
            </w:pPr>
          </w:p>
        </w:tc>
        <w:tc>
          <w:tcPr>
            <w:tcW w:w="2841" w:type="dxa"/>
            <w:vAlign w:val="center"/>
          </w:tcPr>
          <w:p w14:paraId="1BDACD21">
            <w:pPr>
              <w:jc w:val="center"/>
              <w:rPr>
                <w:szCs w:val="21"/>
              </w:rPr>
            </w:pPr>
            <w:r>
              <w:rPr>
                <w:szCs w:val="21"/>
              </w:rPr>
              <w:t>冬季：不低于18℃</w:t>
            </w:r>
          </w:p>
        </w:tc>
        <w:tc>
          <w:tcPr>
            <w:tcW w:w="2207" w:type="dxa"/>
            <w:vMerge w:val="continue"/>
            <w:vAlign w:val="center"/>
          </w:tcPr>
          <w:p w14:paraId="33FC273B">
            <w:pPr>
              <w:jc w:val="center"/>
              <w:rPr>
                <w:szCs w:val="21"/>
              </w:rPr>
            </w:pPr>
          </w:p>
        </w:tc>
      </w:tr>
      <w:tr w14:paraId="034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023" w:type="dxa"/>
            <w:vAlign w:val="center"/>
          </w:tcPr>
          <w:p w14:paraId="3D3DB884">
            <w:pPr>
              <w:jc w:val="center"/>
              <w:rPr>
                <w:szCs w:val="21"/>
              </w:rPr>
            </w:pPr>
            <w:r>
              <w:rPr>
                <w:szCs w:val="21"/>
              </w:rPr>
              <w:t>相对湿度</w:t>
            </w:r>
            <w:r>
              <w:rPr>
                <w:rFonts w:hint="eastAsia"/>
                <w:szCs w:val="21"/>
              </w:rPr>
              <w:t>（%）</w:t>
            </w:r>
          </w:p>
        </w:tc>
        <w:tc>
          <w:tcPr>
            <w:tcW w:w="2841" w:type="dxa"/>
            <w:vAlign w:val="center"/>
          </w:tcPr>
          <w:p w14:paraId="03DC73CD">
            <w:pPr>
              <w:jc w:val="center"/>
              <w:rPr>
                <w:szCs w:val="21"/>
              </w:rPr>
            </w:pPr>
            <w:r>
              <w:rPr>
                <w:szCs w:val="21"/>
              </w:rPr>
              <w:t>40%≤RH≤70%</w:t>
            </w:r>
          </w:p>
        </w:tc>
        <w:tc>
          <w:tcPr>
            <w:tcW w:w="2207" w:type="dxa"/>
            <w:vMerge w:val="continue"/>
            <w:vAlign w:val="center"/>
          </w:tcPr>
          <w:p w14:paraId="3B533CC4">
            <w:pPr>
              <w:jc w:val="center"/>
              <w:rPr>
                <w:szCs w:val="21"/>
              </w:rPr>
            </w:pPr>
          </w:p>
        </w:tc>
      </w:tr>
      <w:tr w14:paraId="58DE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071A2459">
            <w:pPr>
              <w:jc w:val="center"/>
              <w:rPr>
                <w:szCs w:val="21"/>
              </w:rPr>
            </w:pPr>
            <w:r>
              <w:rPr>
                <w:szCs w:val="21"/>
              </w:rPr>
              <w:t>新风换气量</w:t>
            </w:r>
            <w:r>
              <w:rPr>
                <w:rFonts w:hint="eastAsia"/>
                <w:szCs w:val="21"/>
              </w:rPr>
              <w:t>（㎡）</w:t>
            </w:r>
          </w:p>
        </w:tc>
        <w:tc>
          <w:tcPr>
            <w:tcW w:w="2841" w:type="dxa"/>
            <w:vAlign w:val="center"/>
          </w:tcPr>
          <w:p w14:paraId="10F11CEA">
            <w:pPr>
              <w:jc w:val="center"/>
              <w:rPr>
                <w:szCs w:val="21"/>
              </w:rPr>
            </w:pPr>
            <w:r>
              <w:rPr>
                <w:szCs w:val="21"/>
              </w:rPr>
              <w:t>≥30m2/人,</w:t>
            </w:r>
          </w:p>
          <w:p w14:paraId="0CEEF86C">
            <w:pPr>
              <w:jc w:val="center"/>
              <w:rPr>
                <w:szCs w:val="21"/>
              </w:rPr>
            </w:pPr>
            <w:r>
              <w:rPr>
                <w:szCs w:val="21"/>
              </w:rPr>
              <w:t>且换气次数 ≥2次/小时</w:t>
            </w:r>
          </w:p>
        </w:tc>
        <w:tc>
          <w:tcPr>
            <w:tcW w:w="2207" w:type="dxa"/>
            <w:vAlign w:val="center"/>
          </w:tcPr>
          <w:p w14:paraId="46BCED09">
            <w:pPr>
              <w:jc w:val="center"/>
              <w:rPr>
                <w:szCs w:val="21"/>
              </w:rPr>
            </w:pPr>
            <w:r>
              <w:rPr>
                <w:szCs w:val="21"/>
              </w:rPr>
              <w:t>/</w:t>
            </w:r>
          </w:p>
        </w:tc>
      </w:tr>
      <w:tr w14:paraId="26ED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Merge w:val="restart"/>
            <w:vAlign w:val="center"/>
          </w:tcPr>
          <w:p w14:paraId="63E546B0">
            <w:pPr>
              <w:jc w:val="center"/>
              <w:rPr>
                <w:szCs w:val="21"/>
              </w:rPr>
            </w:pPr>
            <w:r>
              <w:rPr>
                <w:szCs w:val="21"/>
              </w:rPr>
              <w:t>室内风速</w:t>
            </w:r>
            <w:r>
              <w:rPr>
                <w:rFonts w:hint="eastAsia"/>
                <w:szCs w:val="21"/>
              </w:rPr>
              <w:t>（ m/s）</w:t>
            </w:r>
          </w:p>
          <w:p w14:paraId="6DD5B436">
            <w:pPr>
              <w:jc w:val="center"/>
              <w:rPr>
                <w:szCs w:val="21"/>
              </w:rPr>
            </w:pPr>
            <w:r>
              <w:rPr>
                <w:szCs w:val="21"/>
              </w:rPr>
              <w:t>（机械通风）</w:t>
            </w:r>
          </w:p>
        </w:tc>
        <w:tc>
          <w:tcPr>
            <w:tcW w:w="2841" w:type="dxa"/>
            <w:vAlign w:val="center"/>
          </w:tcPr>
          <w:p w14:paraId="3A6F797F">
            <w:pPr>
              <w:jc w:val="center"/>
              <w:rPr>
                <w:szCs w:val="21"/>
              </w:rPr>
            </w:pPr>
            <w:r>
              <w:rPr>
                <w:szCs w:val="21"/>
              </w:rPr>
              <w:t>夏季：≤0.3 m/s</w:t>
            </w:r>
          </w:p>
        </w:tc>
        <w:tc>
          <w:tcPr>
            <w:tcW w:w="2207" w:type="dxa"/>
            <w:vMerge w:val="restart"/>
            <w:vAlign w:val="center"/>
          </w:tcPr>
          <w:p w14:paraId="6194DCF8">
            <w:pPr>
              <w:jc w:val="center"/>
              <w:rPr>
                <w:szCs w:val="21"/>
              </w:rPr>
            </w:pPr>
            <w:r>
              <w:rPr>
                <w:szCs w:val="21"/>
              </w:rPr>
              <w:t>90%</w:t>
            </w:r>
          </w:p>
        </w:tc>
      </w:tr>
      <w:tr w14:paraId="39E7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Merge w:val="continue"/>
          </w:tcPr>
          <w:p w14:paraId="12EF006B">
            <w:pPr>
              <w:jc w:val="center"/>
              <w:rPr>
                <w:szCs w:val="21"/>
              </w:rPr>
            </w:pPr>
          </w:p>
        </w:tc>
        <w:tc>
          <w:tcPr>
            <w:tcW w:w="2841" w:type="dxa"/>
          </w:tcPr>
          <w:p w14:paraId="75EFCEB4">
            <w:pPr>
              <w:jc w:val="center"/>
              <w:rPr>
                <w:szCs w:val="21"/>
              </w:rPr>
            </w:pPr>
            <w:r>
              <w:rPr>
                <w:szCs w:val="21"/>
              </w:rPr>
              <w:t>冬季：≤0.3 m/s</w:t>
            </w:r>
          </w:p>
        </w:tc>
        <w:tc>
          <w:tcPr>
            <w:tcW w:w="2207" w:type="dxa"/>
            <w:vMerge w:val="continue"/>
          </w:tcPr>
          <w:p w14:paraId="0BD9B453">
            <w:pPr>
              <w:jc w:val="center"/>
              <w:rPr>
                <w:szCs w:val="21"/>
              </w:rPr>
            </w:pPr>
          </w:p>
        </w:tc>
      </w:tr>
      <w:tr w14:paraId="0FC8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023" w:type="dxa"/>
          </w:tcPr>
          <w:p w14:paraId="006812E4">
            <w:pPr>
              <w:jc w:val="center"/>
              <w:rPr>
                <w:szCs w:val="21"/>
              </w:rPr>
            </w:pPr>
            <w:r>
              <w:rPr>
                <w:szCs w:val="21"/>
              </w:rPr>
              <w:t>室内风速</w:t>
            </w:r>
            <w:r>
              <w:rPr>
                <w:rFonts w:hint="eastAsia"/>
                <w:szCs w:val="21"/>
              </w:rPr>
              <w:t>（ m/s）</w:t>
            </w:r>
          </w:p>
          <w:p w14:paraId="33A969A7">
            <w:pPr>
              <w:jc w:val="center"/>
              <w:rPr>
                <w:szCs w:val="21"/>
              </w:rPr>
            </w:pPr>
            <w:r>
              <w:rPr>
                <w:szCs w:val="21"/>
              </w:rPr>
              <w:t>（自然通风）</w:t>
            </w:r>
          </w:p>
        </w:tc>
        <w:tc>
          <w:tcPr>
            <w:tcW w:w="2841" w:type="dxa"/>
            <w:vAlign w:val="center"/>
          </w:tcPr>
          <w:p w14:paraId="054707AF">
            <w:pPr>
              <w:jc w:val="center"/>
              <w:rPr>
                <w:szCs w:val="21"/>
              </w:rPr>
            </w:pPr>
            <w:r>
              <w:rPr>
                <w:szCs w:val="21"/>
              </w:rPr>
              <w:t>≤ 1.0 m/s</w:t>
            </w:r>
          </w:p>
        </w:tc>
        <w:tc>
          <w:tcPr>
            <w:tcW w:w="2207" w:type="dxa"/>
            <w:vMerge w:val="continue"/>
          </w:tcPr>
          <w:p w14:paraId="10FE888A">
            <w:pPr>
              <w:jc w:val="center"/>
              <w:rPr>
                <w:szCs w:val="21"/>
              </w:rPr>
            </w:pPr>
          </w:p>
        </w:tc>
      </w:tr>
      <w:tr w14:paraId="16D2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23786807">
            <w:pPr>
              <w:jc w:val="center"/>
              <w:rPr>
                <w:szCs w:val="21"/>
              </w:rPr>
            </w:pPr>
            <w:r>
              <w:rPr>
                <w:szCs w:val="21"/>
              </w:rPr>
              <w:t>PMV</w:t>
            </w:r>
          </w:p>
        </w:tc>
        <w:tc>
          <w:tcPr>
            <w:tcW w:w="2841" w:type="dxa"/>
            <w:vAlign w:val="center"/>
          </w:tcPr>
          <w:p w14:paraId="5D3BA876">
            <w:pPr>
              <w:jc w:val="center"/>
              <w:rPr>
                <w:szCs w:val="21"/>
              </w:rPr>
            </w:pPr>
            <w:r>
              <w:rPr>
                <w:szCs w:val="21"/>
              </w:rPr>
              <w:t>-1≤PMV≤1</w:t>
            </w:r>
          </w:p>
        </w:tc>
        <w:tc>
          <w:tcPr>
            <w:tcW w:w="2207" w:type="dxa"/>
            <w:vMerge w:val="continue"/>
          </w:tcPr>
          <w:p w14:paraId="54BAA17D">
            <w:pPr>
              <w:jc w:val="center"/>
              <w:rPr>
                <w:szCs w:val="21"/>
              </w:rPr>
            </w:pPr>
          </w:p>
        </w:tc>
      </w:tr>
      <w:tr w14:paraId="79D9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16CD7380">
            <w:pPr>
              <w:jc w:val="center"/>
              <w:rPr>
                <w:szCs w:val="21"/>
              </w:rPr>
            </w:pPr>
            <w:r>
              <w:rPr>
                <w:szCs w:val="21"/>
              </w:rPr>
              <w:t>PPD</w:t>
            </w:r>
          </w:p>
        </w:tc>
        <w:tc>
          <w:tcPr>
            <w:tcW w:w="2841" w:type="dxa"/>
            <w:vAlign w:val="center"/>
          </w:tcPr>
          <w:p w14:paraId="62D4A48E">
            <w:pPr>
              <w:jc w:val="center"/>
              <w:rPr>
                <w:szCs w:val="21"/>
              </w:rPr>
            </w:pPr>
            <w:r>
              <w:rPr>
                <w:szCs w:val="21"/>
              </w:rPr>
              <w:t>≤20%</w:t>
            </w:r>
          </w:p>
        </w:tc>
        <w:tc>
          <w:tcPr>
            <w:tcW w:w="2207" w:type="dxa"/>
            <w:vMerge w:val="continue"/>
          </w:tcPr>
          <w:p w14:paraId="12B9B820">
            <w:pPr>
              <w:jc w:val="center"/>
              <w:rPr>
                <w:szCs w:val="21"/>
              </w:rPr>
            </w:pPr>
          </w:p>
        </w:tc>
      </w:tr>
      <w:tr w14:paraId="2E42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23CF5C86">
            <w:pPr>
              <w:jc w:val="center"/>
              <w:rPr>
                <w:szCs w:val="21"/>
              </w:rPr>
            </w:pPr>
            <w:r>
              <w:rPr>
                <w:szCs w:val="21"/>
              </w:rPr>
              <w:t>LPD 1</w:t>
            </w:r>
          </w:p>
        </w:tc>
        <w:tc>
          <w:tcPr>
            <w:tcW w:w="2841" w:type="dxa"/>
            <w:vAlign w:val="center"/>
          </w:tcPr>
          <w:p w14:paraId="651D361A">
            <w:pPr>
              <w:jc w:val="center"/>
              <w:rPr>
                <w:szCs w:val="21"/>
              </w:rPr>
            </w:pPr>
            <w:r>
              <w:rPr>
                <w:szCs w:val="21"/>
              </w:rPr>
              <w:t>≤20%</w:t>
            </w:r>
          </w:p>
        </w:tc>
        <w:tc>
          <w:tcPr>
            <w:tcW w:w="2207" w:type="dxa"/>
            <w:vMerge w:val="continue"/>
          </w:tcPr>
          <w:p w14:paraId="2CB170D8">
            <w:pPr>
              <w:jc w:val="center"/>
              <w:rPr>
                <w:szCs w:val="21"/>
              </w:rPr>
            </w:pPr>
          </w:p>
        </w:tc>
      </w:tr>
      <w:tr w14:paraId="3EF1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5336A5A7">
            <w:pPr>
              <w:jc w:val="center"/>
              <w:rPr>
                <w:szCs w:val="21"/>
              </w:rPr>
            </w:pPr>
            <w:r>
              <w:rPr>
                <w:szCs w:val="21"/>
              </w:rPr>
              <w:t>LPD 2</w:t>
            </w:r>
          </w:p>
        </w:tc>
        <w:tc>
          <w:tcPr>
            <w:tcW w:w="2841" w:type="dxa"/>
            <w:vAlign w:val="center"/>
          </w:tcPr>
          <w:p w14:paraId="727DDAF2">
            <w:pPr>
              <w:jc w:val="center"/>
              <w:rPr>
                <w:szCs w:val="21"/>
              </w:rPr>
            </w:pPr>
            <w:r>
              <w:rPr>
                <w:szCs w:val="21"/>
              </w:rPr>
              <w:t>≤20%</w:t>
            </w:r>
          </w:p>
        </w:tc>
        <w:tc>
          <w:tcPr>
            <w:tcW w:w="2207" w:type="dxa"/>
            <w:vMerge w:val="continue"/>
          </w:tcPr>
          <w:p w14:paraId="6145699A">
            <w:pPr>
              <w:jc w:val="center"/>
              <w:rPr>
                <w:szCs w:val="21"/>
              </w:rPr>
            </w:pPr>
          </w:p>
        </w:tc>
      </w:tr>
      <w:tr w14:paraId="1916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vAlign w:val="center"/>
          </w:tcPr>
          <w:p w14:paraId="44055CB0">
            <w:pPr>
              <w:jc w:val="center"/>
              <w:rPr>
                <w:szCs w:val="21"/>
              </w:rPr>
            </w:pPr>
            <w:r>
              <w:rPr>
                <w:szCs w:val="21"/>
              </w:rPr>
              <w:t>LPD 3</w:t>
            </w:r>
          </w:p>
        </w:tc>
        <w:tc>
          <w:tcPr>
            <w:tcW w:w="2841" w:type="dxa"/>
            <w:vAlign w:val="center"/>
          </w:tcPr>
          <w:p w14:paraId="1CC1A854">
            <w:pPr>
              <w:jc w:val="center"/>
              <w:rPr>
                <w:szCs w:val="21"/>
              </w:rPr>
            </w:pPr>
            <w:r>
              <w:rPr>
                <w:szCs w:val="21"/>
              </w:rPr>
              <w:t>≤20%</w:t>
            </w:r>
          </w:p>
        </w:tc>
        <w:tc>
          <w:tcPr>
            <w:tcW w:w="2207" w:type="dxa"/>
            <w:vMerge w:val="continue"/>
          </w:tcPr>
          <w:p w14:paraId="4C635091">
            <w:pPr>
              <w:jc w:val="center"/>
              <w:rPr>
                <w:szCs w:val="21"/>
              </w:rPr>
            </w:pPr>
          </w:p>
        </w:tc>
      </w:tr>
    </w:tbl>
    <w:p w14:paraId="3A189702">
      <w:pPr>
        <w:spacing w:line="288" w:lineRule="auto"/>
        <w:ind w:firstLine="480" w:firstLineChars="200"/>
        <w:rPr>
          <w:rFonts w:eastAsia="仿宋_GB2312"/>
          <w:color w:val="4F81BD" w:themeColor="accent1"/>
          <w:sz w:val="24"/>
          <w:szCs w:val="24"/>
          <w:u w:val="single"/>
          <w14:textFill>
            <w14:solidFill>
              <w14:schemeClr w14:val="accent1"/>
            </w14:solidFill>
          </w14:textFill>
        </w:rPr>
      </w:pPr>
    </w:p>
    <w:p w14:paraId="5C6600AA">
      <w:pPr>
        <w:spacing w:before="120" w:after="120" w:line="312" w:lineRule="auto"/>
        <w:rPr>
          <w:sz w:val="24"/>
          <w:szCs w:val="24"/>
        </w:rPr>
      </w:pPr>
      <w:r>
        <w:rPr>
          <w:b/>
          <w:bCs/>
          <w:sz w:val="24"/>
          <w:szCs w:val="24"/>
        </w:rPr>
        <w:t>4.2.2</w:t>
      </w:r>
      <w:r>
        <w:rPr>
          <w:sz w:val="24"/>
          <w:szCs w:val="24"/>
        </w:rPr>
        <w:t xml:space="preserve"> 建筑室内热环境应符合下列</w:t>
      </w:r>
      <w:r>
        <w:rPr>
          <w:rFonts w:hint="eastAsia"/>
          <w:sz w:val="24"/>
          <w:szCs w:val="24"/>
        </w:rPr>
        <w:t>规定</w:t>
      </w:r>
      <w:r>
        <w:rPr>
          <w:sz w:val="24"/>
          <w:szCs w:val="24"/>
        </w:rPr>
        <w:t>：</w:t>
      </w:r>
    </w:p>
    <w:p w14:paraId="50346AE6">
      <w:pPr>
        <w:spacing w:before="120" w:after="120" w:line="312" w:lineRule="auto"/>
        <w:ind w:firstLine="482" w:firstLineChars="200"/>
        <w:rPr>
          <w:sz w:val="24"/>
          <w:szCs w:val="24"/>
        </w:rPr>
      </w:pPr>
      <w:r>
        <w:rPr>
          <w:b/>
          <w:bCs/>
          <w:sz w:val="24"/>
          <w:szCs w:val="24"/>
        </w:rPr>
        <w:t>1</w:t>
      </w:r>
      <w:r>
        <w:rPr>
          <w:sz w:val="24"/>
          <w:szCs w:val="24"/>
        </w:rPr>
        <w:t xml:space="preserve"> 夏季自然通风时，当室内温度达到27℃以上但不超过30℃时，自然通风风速应控制在0.5</w:t>
      </w:r>
      <w:r>
        <w:rPr>
          <w:rFonts w:hint="eastAsia"/>
          <w:sz w:val="24"/>
          <w:szCs w:val="24"/>
        </w:rPr>
        <w:t>m/s</w:t>
      </w:r>
      <w:r>
        <w:rPr>
          <w:sz w:val="24"/>
          <w:szCs w:val="24"/>
        </w:rPr>
        <w:t>～1.5m/s范围内；在其他季节，自然通风工况下，自然通风能够根据需求进行控制，主要功能房间的平均自然通风换气次数不小于2次/h的面积比例达到80％以上。</w:t>
      </w:r>
    </w:p>
    <w:p w14:paraId="05F5DE0A">
      <w:pPr>
        <w:spacing w:before="120" w:after="120" w:line="312" w:lineRule="auto"/>
        <w:ind w:firstLine="482" w:firstLineChars="200"/>
        <w:rPr>
          <w:sz w:val="24"/>
          <w:szCs w:val="24"/>
        </w:rPr>
      </w:pPr>
      <w:bookmarkStart w:id="107" w:name="_Toc9304"/>
      <w:r>
        <w:rPr>
          <w:b/>
          <w:bCs/>
          <w:sz w:val="24"/>
          <w:szCs w:val="24"/>
        </w:rPr>
        <w:t>2</w:t>
      </w:r>
      <w:r>
        <w:rPr>
          <w:sz w:val="24"/>
          <w:szCs w:val="24"/>
        </w:rPr>
        <w:t xml:space="preserve"> 夏季应避免直射阳光照射到室内人体表面。</w:t>
      </w:r>
      <w:bookmarkEnd w:id="107"/>
    </w:p>
    <w:p w14:paraId="4453C900">
      <w:pPr>
        <w:spacing w:before="120" w:after="120" w:line="312" w:lineRule="auto"/>
        <w:ind w:firstLine="482" w:firstLineChars="200"/>
        <w:rPr>
          <w:sz w:val="24"/>
          <w:szCs w:val="24"/>
        </w:rPr>
      </w:pPr>
      <w:r>
        <w:rPr>
          <w:b/>
          <w:bCs/>
          <w:sz w:val="24"/>
          <w:szCs w:val="24"/>
        </w:rPr>
        <w:t>3</w:t>
      </w:r>
      <w:r>
        <w:rPr>
          <w:sz w:val="24"/>
          <w:szCs w:val="24"/>
        </w:rPr>
        <w:t xml:space="preserve"> 夏季不应有较大面积（按照立体角计，不超过1/6半球）的墙面或屋顶面的内表面温度超过30℃。</w:t>
      </w:r>
    </w:p>
    <w:p w14:paraId="5D52D4A6">
      <w:pPr>
        <w:spacing w:before="120" w:after="120" w:line="312" w:lineRule="auto"/>
        <w:ind w:firstLine="482" w:firstLineChars="200"/>
        <w:rPr>
          <w:sz w:val="24"/>
          <w:szCs w:val="24"/>
        </w:rPr>
      </w:pPr>
      <w:r>
        <w:rPr>
          <w:b/>
          <w:bCs/>
          <w:sz w:val="24"/>
          <w:szCs w:val="24"/>
        </w:rPr>
        <w:t>4</w:t>
      </w:r>
      <w:r>
        <w:rPr>
          <w:sz w:val="24"/>
          <w:szCs w:val="24"/>
        </w:rPr>
        <w:t xml:space="preserve"> 冬季室内墙面和屋顶不应出现低于15℃的较大面积（按照立体角计，1/6半球）冷辐射。</w:t>
      </w:r>
    </w:p>
    <w:p w14:paraId="4DB4C15D">
      <w:pPr>
        <w:spacing w:before="120" w:after="120" w:line="312" w:lineRule="auto"/>
        <w:ind w:firstLine="482" w:firstLineChars="200"/>
        <w:rPr>
          <w:sz w:val="24"/>
          <w:szCs w:val="24"/>
        </w:rPr>
      </w:pPr>
      <w:bookmarkStart w:id="108" w:name="_Toc4568"/>
      <w:r>
        <w:rPr>
          <w:b/>
          <w:bCs/>
          <w:sz w:val="24"/>
          <w:szCs w:val="24"/>
        </w:rPr>
        <w:t>5</w:t>
      </w:r>
      <w:r>
        <w:rPr>
          <w:sz w:val="24"/>
          <w:szCs w:val="24"/>
        </w:rPr>
        <w:t xml:space="preserve"> 居住建筑宜在冬季保证室内有适当的日照。</w:t>
      </w:r>
      <w:bookmarkEnd w:id="108"/>
    </w:p>
    <w:p w14:paraId="2A6AFD8E">
      <w:pPr>
        <w:spacing w:before="120" w:after="120" w:line="312" w:lineRule="auto"/>
        <w:ind w:firstLine="482" w:firstLineChars="200"/>
        <w:rPr>
          <w:sz w:val="24"/>
          <w:szCs w:val="24"/>
        </w:rPr>
      </w:pPr>
      <w:r>
        <w:rPr>
          <w:b/>
          <w:bCs/>
          <w:sz w:val="24"/>
          <w:szCs w:val="24"/>
        </w:rPr>
        <w:t>6</w:t>
      </w:r>
      <w:r>
        <w:rPr>
          <w:sz w:val="24"/>
          <w:szCs w:val="24"/>
        </w:rPr>
        <w:t xml:space="preserve"> 空调环境下，人体头部附近的气流风速不应超过1m/s，不宜超过0.5m/s；若冷风长期吹向头部，其温度应不低于20℃，且风速应不超过0.3m/s。</w:t>
      </w:r>
    </w:p>
    <w:p w14:paraId="658DF239">
      <w:pPr>
        <w:spacing w:before="120" w:after="120" w:line="312" w:lineRule="auto"/>
        <w:ind w:firstLine="482" w:firstLineChars="200"/>
        <w:rPr>
          <w:sz w:val="24"/>
          <w:szCs w:val="24"/>
        </w:rPr>
      </w:pPr>
      <w:bookmarkStart w:id="109" w:name="_Toc31817"/>
      <w:r>
        <w:rPr>
          <w:b/>
          <w:bCs/>
          <w:sz w:val="24"/>
          <w:szCs w:val="24"/>
        </w:rPr>
        <w:t>7</w:t>
      </w:r>
      <w:r>
        <w:rPr>
          <w:sz w:val="24"/>
          <w:szCs w:val="24"/>
        </w:rPr>
        <w:t xml:space="preserve"> 在潮湿天气条件下，建筑的屋顶和外墙内表面不得出现凝结水现象。</w:t>
      </w:r>
      <w:bookmarkEnd w:id="109"/>
    </w:p>
    <w:p w14:paraId="1192530B">
      <w:pPr>
        <w:spacing w:before="120" w:after="120" w:line="312" w:lineRule="auto"/>
        <w:ind w:firstLine="480" w:firstLineChars="200"/>
        <w:rPr>
          <w:sz w:val="24"/>
          <w:szCs w:val="24"/>
        </w:rPr>
      </w:pPr>
    </w:p>
    <w:p w14:paraId="35889AC6">
      <w:pPr>
        <w:spacing w:before="120" w:after="120" w:line="312" w:lineRule="auto"/>
        <w:jc w:val="center"/>
        <w:rPr>
          <w:b/>
          <w:bCs/>
          <w:sz w:val="24"/>
          <w:szCs w:val="24"/>
        </w:rPr>
      </w:pPr>
      <w:bookmarkStart w:id="110" w:name="_Toc4246"/>
      <w:bookmarkStart w:id="111" w:name="_Toc201158886"/>
      <w:r>
        <w:rPr>
          <w:b/>
          <w:bCs/>
          <w:sz w:val="24"/>
          <w:szCs w:val="24"/>
        </w:rPr>
        <w:t>Ⅱ 声环境</w:t>
      </w:r>
      <w:bookmarkEnd w:id="110"/>
      <w:bookmarkEnd w:id="111"/>
    </w:p>
    <w:p w14:paraId="54A6663C">
      <w:pPr>
        <w:spacing w:before="120" w:after="120" w:line="312" w:lineRule="auto"/>
        <w:rPr>
          <w:sz w:val="24"/>
          <w:szCs w:val="24"/>
        </w:rPr>
      </w:pPr>
      <w:r>
        <w:rPr>
          <w:b/>
          <w:bCs/>
          <w:sz w:val="24"/>
          <w:szCs w:val="24"/>
        </w:rPr>
        <w:t>4.2.3</w:t>
      </w:r>
      <w:r>
        <w:rPr>
          <w:sz w:val="24"/>
          <w:szCs w:val="24"/>
        </w:rPr>
        <w:t xml:space="preserve"> 建筑物外部噪声源传播至主要功能房间的噪声</w:t>
      </w:r>
      <w:r>
        <w:rPr>
          <w:rFonts w:hint="eastAsia"/>
          <w:sz w:val="24"/>
          <w:szCs w:val="24"/>
        </w:rPr>
        <w:t>宜</w:t>
      </w:r>
      <w:r>
        <w:rPr>
          <w:sz w:val="24"/>
          <w:szCs w:val="24"/>
        </w:rPr>
        <w:t>比现行国家工程建设规范《建筑环境通用规范》GB 55016限值降低3dB及以上。建筑物内部建筑设备传播至主要功能房间的噪声</w:t>
      </w:r>
      <w:r>
        <w:rPr>
          <w:rFonts w:hint="eastAsia"/>
          <w:sz w:val="24"/>
          <w:szCs w:val="24"/>
        </w:rPr>
        <w:t>宜</w:t>
      </w:r>
      <w:r>
        <w:rPr>
          <w:sz w:val="24"/>
          <w:szCs w:val="24"/>
        </w:rPr>
        <w:t>比现行国家工程建设规范《建筑环境通用规范》GB 55016限值降低3dB及以上。主要功能房间</w:t>
      </w:r>
      <w:r>
        <w:rPr>
          <w:rFonts w:hint="eastAsia"/>
          <w:sz w:val="24"/>
          <w:szCs w:val="24"/>
        </w:rPr>
        <w:t>宜</w:t>
      </w:r>
      <w:r>
        <w:rPr>
          <w:sz w:val="24"/>
          <w:szCs w:val="24"/>
        </w:rPr>
        <w:t>具有良好的隔声性能，符合表4.2.3的规定。</w:t>
      </w:r>
    </w:p>
    <w:p w14:paraId="0EACF081">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表4.2.3  主要功能房间隔声性能指标</w:t>
      </w:r>
    </w:p>
    <w:tbl>
      <w:tblPr>
        <w:tblStyle w:val="17"/>
        <w:tblW w:w="45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066"/>
        <w:gridCol w:w="1112"/>
        <w:gridCol w:w="4746"/>
      </w:tblGrid>
      <w:tr w14:paraId="3ADA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Align w:val="center"/>
          </w:tcPr>
          <w:p w14:paraId="1B933D23">
            <w:pPr>
              <w:jc w:val="center"/>
              <w:rPr>
                <w:szCs w:val="21"/>
              </w:rPr>
            </w:pPr>
            <w:r>
              <w:rPr>
                <w:szCs w:val="21"/>
              </w:rPr>
              <w:t>建筑类别</w:t>
            </w:r>
          </w:p>
        </w:tc>
        <w:tc>
          <w:tcPr>
            <w:tcW w:w="1410" w:type="pct"/>
            <w:gridSpan w:val="2"/>
            <w:vAlign w:val="center"/>
          </w:tcPr>
          <w:p w14:paraId="7A9D2AFF">
            <w:pPr>
              <w:jc w:val="center"/>
              <w:rPr>
                <w:szCs w:val="21"/>
              </w:rPr>
            </w:pPr>
            <w:r>
              <w:rPr>
                <w:szCs w:val="21"/>
              </w:rPr>
              <w:t>构件或房间名称</w:t>
            </w:r>
          </w:p>
        </w:tc>
        <w:tc>
          <w:tcPr>
            <w:tcW w:w="3072" w:type="pct"/>
            <w:vAlign w:val="center"/>
          </w:tcPr>
          <w:p w14:paraId="7A877D2E">
            <w:pPr>
              <w:jc w:val="center"/>
              <w:rPr>
                <w:szCs w:val="21"/>
              </w:rPr>
            </w:pPr>
            <w:r>
              <w:rPr>
                <w:szCs w:val="21"/>
              </w:rPr>
              <w:t>评价指标</w:t>
            </w:r>
          </w:p>
        </w:tc>
      </w:tr>
      <w:tr w14:paraId="02AD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restart"/>
            <w:vAlign w:val="center"/>
          </w:tcPr>
          <w:p w14:paraId="65C90649">
            <w:pPr>
              <w:jc w:val="center"/>
              <w:rPr>
                <w:szCs w:val="21"/>
              </w:rPr>
            </w:pPr>
            <w:r>
              <w:rPr>
                <w:szCs w:val="21"/>
              </w:rPr>
              <w:t>住宅建筑</w:t>
            </w:r>
          </w:p>
        </w:tc>
        <w:tc>
          <w:tcPr>
            <w:tcW w:w="1410" w:type="pct"/>
            <w:gridSpan w:val="2"/>
            <w:vAlign w:val="center"/>
          </w:tcPr>
          <w:p w14:paraId="6C030552">
            <w:pPr>
              <w:jc w:val="center"/>
              <w:rPr>
                <w:szCs w:val="21"/>
              </w:rPr>
            </w:pPr>
            <w:r>
              <w:rPr>
                <w:szCs w:val="21"/>
              </w:rPr>
              <w:t>卧室含窗外墙</w:t>
            </w:r>
          </w:p>
        </w:tc>
        <w:tc>
          <w:tcPr>
            <w:tcW w:w="3072" w:type="pct"/>
            <w:vAlign w:val="center"/>
          </w:tcPr>
          <w:p w14:paraId="4AEFFCB8">
            <w:pPr>
              <w:jc w:val="center"/>
              <w:rPr>
                <w:szCs w:val="21"/>
              </w:rPr>
            </w:pPr>
            <w:r>
              <w:rPr>
                <w:szCs w:val="21"/>
              </w:rPr>
              <w:t>计权标准化声压级差与交通噪声频谱修正量之和</w:t>
            </w:r>
          </w:p>
          <w:p w14:paraId="73BF0844">
            <w:pPr>
              <w:jc w:val="center"/>
              <w:rPr>
                <w:szCs w:val="21"/>
              </w:rPr>
            </w:pPr>
            <w:r>
              <w:rPr>
                <w:szCs w:val="21"/>
              </w:rPr>
              <w:object>
                <v:shape id="_x0000_i1025" o:spt="75" type="#_x0000_t75" style="height:15.05pt;width:44.35pt;" o:ole="t" filled="f" o:preferrelative="t" stroked="f" coordsize="21600,21600">
                  <v:path/>
                  <v:fill on="f" focussize="0,0"/>
                  <v:stroke on="f" joinstyle="miter"/>
                  <v:imagedata r:id="rId13" embosscolor="#FFFFFF" o:title=""/>
                  <o:lock v:ext="edit" aspectratio="t"/>
                  <w10:wrap type="none"/>
                  <w10:anchorlock/>
                </v:shape>
                <o:OLEObject Type="Embed" ProgID="Equation.DSMT4" ShapeID="_x0000_i1025" DrawAspect="Content" ObjectID="_1468075725" r:id="rId12">
                  <o:LockedField>false</o:LockedField>
                </o:OLEObject>
              </w:object>
            </w:r>
            <w:r>
              <w:rPr>
                <w:szCs w:val="21"/>
              </w:rPr>
              <w:t>≥35dB</w:t>
            </w:r>
          </w:p>
        </w:tc>
      </w:tr>
      <w:tr w14:paraId="27E5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vAlign w:val="center"/>
          </w:tcPr>
          <w:p w14:paraId="43260AAF">
            <w:pPr>
              <w:jc w:val="center"/>
              <w:rPr>
                <w:szCs w:val="21"/>
              </w:rPr>
            </w:pPr>
          </w:p>
        </w:tc>
        <w:tc>
          <w:tcPr>
            <w:tcW w:w="690" w:type="pct"/>
            <w:vMerge w:val="restart"/>
            <w:vAlign w:val="center"/>
          </w:tcPr>
          <w:p w14:paraId="2574B8F0">
            <w:pPr>
              <w:jc w:val="center"/>
              <w:rPr>
                <w:szCs w:val="21"/>
              </w:rPr>
            </w:pPr>
            <w:r>
              <w:rPr>
                <w:szCs w:val="21"/>
              </w:rPr>
              <w:t>相邻两户房间之间空气声隔声</w:t>
            </w:r>
          </w:p>
        </w:tc>
        <w:tc>
          <w:tcPr>
            <w:tcW w:w="720" w:type="pct"/>
            <w:vAlign w:val="center"/>
          </w:tcPr>
          <w:p w14:paraId="09E7A61C">
            <w:pPr>
              <w:jc w:val="center"/>
              <w:rPr>
                <w:szCs w:val="21"/>
              </w:rPr>
            </w:pPr>
            <w:r>
              <w:rPr>
                <w:szCs w:val="21"/>
              </w:rPr>
              <w:t>隔墙两侧房间之间</w:t>
            </w:r>
          </w:p>
        </w:tc>
        <w:tc>
          <w:tcPr>
            <w:tcW w:w="3072" w:type="pct"/>
            <w:vMerge w:val="restart"/>
            <w:vAlign w:val="center"/>
          </w:tcPr>
          <w:p w14:paraId="16DC2843">
            <w:pPr>
              <w:jc w:val="center"/>
              <w:rPr>
                <w:szCs w:val="21"/>
              </w:rPr>
            </w:pPr>
            <w:r>
              <w:rPr>
                <w:szCs w:val="21"/>
              </w:rPr>
              <w:t>计权标准化声压级差与交通噪声频谱修正量之和</w:t>
            </w:r>
            <w:r>
              <w:rPr>
                <w:szCs w:val="21"/>
              </w:rPr>
              <w:object>
                <v:shape id="_x0000_i1026" o:spt="75" type="#_x0000_t75" style="height:15.05pt;width:36pt;" o:ole="t" filled="f" o:preferrelative="t" stroked="f" coordsize="21600,21600">
                  <v:path/>
                  <v:fill on="f" focussize="0,0"/>
                  <v:stroke on="f" joinstyle="miter"/>
                  <v:imagedata r:id="rId15" embosscolor="#FFFFFF" o:title=""/>
                  <o:lock v:ext="edit" aspectratio="t"/>
                  <w10:wrap type="none"/>
                  <w10:anchorlock/>
                </v:shape>
                <o:OLEObject Type="Embed" ProgID="Equation.DSMT4" ShapeID="_x0000_i1026" DrawAspect="Content" ObjectID="_1468075726" r:id="rId14">
                  <o:LockedField>false</o:LockedField>
                </o:OLEObject>
              </w:object>
            </w:r>
            <w:r>
              <w:rPr>
                <w:szCs w:val="21"/>
              </w:rPr>
              <w:t>≥50dB（卧室与邻户房间之间）且</w:t>
            </w:r>
          </w:p>
          <w:p w14:paraId="17014CA3">
            <w:pPr>
              <w:jc w:val="center"/>
              <w:rPr>
                <w:szCs w:val="21"/>
              </w:rPr>
            </w:pPr>
            <w:r>
              <w:rPr>
                <w:szCs w:val="21"/>
              </w:rPr>
              <w:t>计权标准化声压级差与粉红噪声频谱修正量之和</w:t>
            </w:r>
            <w:r>
              <w:rPr>
                <w:szCs w:val="21"/>
              </w:rPr>
              <w:object>
                <v:shape id="_x0000_i1027" o:spt="75" type="#_x0000_t75" style="height:15.05pt;width:36pt;" o:ole="t" filled="f" o:preferrelative="t" stroked="f" coordsize="21600,21600">
                  <v:path/>
                  <v:fill on="f" focussize="0,0"/>
                  <v:stroke on="f" joinstyle="miter"/>
                  <v:imagedata r:id="rId17" embosscolor="#FFFFFF" o:title=""/>
                  <o:lock v:ext="edit" aspectratio="t"/>
                  <w10:wrap type="none"/>
                  <w10:anchorlock/>
                </v:shape>
                <o:OLEObject Type="Embed" ProgID="Equation.DSMT4" ShapeID="_x0000_i1027" DrawAspect="Content" ObjectID="_1468075727" r:id="rId16">
                  <o:LockedField>false</o:LockedField>
                </o:OLEObject>
              </w:object>
            </w:r>
            <w:r>
              <w:rPr>
                <w:szCs w:val="21"/>
              </w:rPr>
              <w:t>≥50dB（其他相邻两户房间之间）</w:t>
            </w:r>
          </w:p>
        </w:tc>
      </w:tr>
      <w:tr w14:paraId="05A1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vAlign w:val="center"/>
          </w:tcPr>
          <w:p w14:paraId="35564F06">
            <w:pPr>
              <w:jc w:val="center"/>
              <w:rPr>
                <w:szCs w:val="21"/>
              </w:rPr>
            </w:pPr>
          </w:p>
        </w:tc>
        <w:tc>
          <w:tcPr>
            <w:tcW w:w="690" w:type="pct"/>
            <w:vMerge w:val="continue"/>
            <w:vAlign w:val="center"/>
          </w:tcPr>
          <w:p w14:paraId="4B226322">
            <w:pPr>
              <w:jc w:val="center"/>
              <w:rPr>
                <w:szCs w:val="21"/>
              </w:rPr>
            </w:pPr>
          </w:p>
        </w:tc>
        <w:tc>
          <w:tcPr>
            <w:tcW w:w="720" w:type="pct"/>
            <w:vAlign w:val="center"/>
          </w:tcPr>
          <w:p w14:paraId="0141F3E9">
            <w:pPr>
              <w:jc w:val="center"/>
              <w:rPr>
                <w:szCs w:val="21"/>
              </w:rPr>
            </w:pPr>
            <w:r>
              <w:rPr>
                <w:szCs w:val="21"/>
              </w:rPr>
              <w:t>楼板上下房间之间</w:t>
            </w:r>
          </w:p>
        </w:tc>
        <w:tc>
          <w:tcPr>
            <w:tcW w:w="3072" w:type="pct"/>
            <w:vMerge w:val="continue"/>
            <w:vAlign w:val="center"/>
          </w:tcPr>
          <w:p w14:paraId="5A36DBFA">
            <w:pPr>
              <w:jc w:val="center"/>
              <w:rPr>
                <w:szCs w:val="21"/>
              </w:rPr>
            </w:pPr>
          </w:p>
        </w:tc>
      </w:tr>
      <w:tr w14:paraId="4462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16" w:type="pct"/>
            <w:vMerge w:val="continue"/>
            <w:vAlign w:val="center"/>
          </w:tcPr>
          <w:p w14:paraId="31A8EA05">
            <w:pPr>
              <w:jc w:val="center"/>
              <w:rPr>
                <w:szCs w:val="21"/>
              </w:rPr>
            </w:pPr>
          </w:p>
        </w:tc>
        <w:tc>
          <w:tcPr>
            <w:tcW w:w="1410" w:type="pct"/>
            <w:gridSpan w:val="2"/>
            <w:vAlign w:val="center"/>
          </w:tcPr>
          <w:p w14:paraId="382680AF">
            <w:pPr>
              <w:jc w:val="center"/>
              <w:rPr>
                <w:szCs w:val="21"/>
              </w:rPr>
            </w:pPr>
            <w:r>
              <w:rPr>
                <w:szCs w:val="21"/>
              </w:rPr>
              <w:t>卧室和起居室楼板撞击声隔声</w:t>
            </w:r>
          </w:p>
        </w:tc>
        <w:tc>
          <w:tcPr>
            <w:tcW w:w="3072" w:type="pct"/>
            <w:vAlign w:val="center"/>
          </w:tcPr>
          <w:p w14:paraId="38237C43">
            <w:pPr>
              <w:jc w:val="center"/>
              <w:rPr>
                <w:szCs w:val="21"/>
              </w:rPr>
            </w:pPr>
            <w:r>
              <w:rPr>
                <w:szCs w:val="21"/>
              </w:rPr>
              <w:t>计权标准化撞击声压级L′nT，w≤60dB</w:t>
            </w:r>
          </w:p>
        </w:tc>
      </w:tr>
      <w:tr w14:paraId="2F2A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16" w:type="pct"/>
            <w:vMerge w:val="restart"/>
            <w:vAlign w:val="center"/>
          </w:tcPr>
          <w:p w14:paraId="20B0BCE3">
            <w:pPr>
              <w:jc w:val="center"/>
              <w:rPr>
                <w:szCs w:val="21"/>
              </w:rPr>
            </w:pPr>
            <w:r>
              <w:rPr>
                <w:szCs w:val="21"/>
              </w:rPr>
              <w:t>公共建筑</w:t>
            </w:r>
          </w:p>
        </w:tc>
        <w:tc>
          <w:tcPr>
            <w:tcW w:w="1410" w:type="pct"/>
            <w:gridSpan w:val="2"/>
            <w:vAlign w:val="center"/>
          </w:tcPr>
          <w:p w14:paraId="374B1E04">
            <w:pPr>
              <w:jc w:val="center"/>
              <w:rPr>
                <w:szCs w:val="21"/>
              </w:rPr>
            </w:pPr>
            <w:r>
              <w:rPr>
                <w:szCs w:val="21"/>
              </w:rPr>
              <w:t>外围护结构</w:t>
            </w:r>
          </w:p>
        </w:tc>
        <w:tc>
          <w:tcPr>
            <w:tcW w:w="3072" w:type="pct"/>
            <w:vAlign w:val="center"/>
          </w:tcPr>
          <w:p w14:paraId="57CB5937">
            <w:pPr>
              <w:jc w:val="center"/>
              <w:rPr>
                <w:szCs w:val="21"/>
              </w:rPr>
            </w:pPr>
            <w:r>
              <w:rPr>
                <w:szCs w:val="21"/>
              </w:rPr>
              <w:t>计权标准化声压级差与交通噪声频谱修正量之和</w:t>
            </w:r>
            <w:r>
              <w:rPr>
                <w:szCs w:val="21"/>
              </w:rPr>
              <w:object>
                <v:shape id="_x0000_i1028" o:spt="75" type="#_x0000_t75" style="height:15.05pt;width:44.35pt;" o:ole="t" filled="f" o:preferrelative="t" stroked="f" coordsize="21600,21600">
                  <v:path/>
                  <v:fill on="f" focussize="0,0"/>
                  <v:stroke on="f" joinstyle="miter"/>
                  <v:imagedata r:id="rId13" embosscolor="#FFFFFF" o:title=""/>
                  <o:lock v:ext="edit" aspectratio="t"/>
                  <w10:wrap type="none"/>
                  <w10:anchorlock/>
                </v:shape>
                <o:OLEObject Type="Embed" ProgID="Equation.DSMT4" ShapeID="_x0000_i1028" DrawAspect="Content" ObjectID="_1468075728" r:id="rId18">
                  <o:LockedField>false</o:LockedField>
                </o:OLEObject>
              </w:object>
            </w:r>
            <w:r>
              <w:rPr>
                <w:szCs w:val="21"/>
              </w:rPr>
              <w:t>≥30dB</w:t>
            </w:r>
          </w:p>
        </w:tc>
      </w:tr>
      <w:tr w14:paraId="241D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vAlign w:val="center"/>
          </w:tcPr>
          <w:p w14:paraId="0D189DE0">
            <w:pPr>
              <w:jc w:val="center"/>
              <w:rPr>
                <w:szCs w:val="21"/>
              </w:rPr>
            </w:pPr>
          </w:p>
        </w:tc>
        <w:tc>
          <w:tcPr>
            <w:tcW w:w="690" w:type="pct"/>
            <w:vMerge w:val="restart"/>
            <w:vAlign w:val="center"/>
          </w:tcPr>
          <w:p w14:paraId="046D41DE">
            <w:pPr>
              <w:jc w:val="center"/>
              <w:rPr>
                <w:szCs w:val="21"/>
              </w:rPr>
            </w:pPr>
            <w:r>
              <w:rPr>
                <w:szCs w:val="21"/>
              </w:rPr>
              <w:t>房间之间空气声隔声</w:t>
            </w:r>
          </w:p>
        </w:tc>
        <w:tc>
          <w:tcPr>
            <w:tcW w:w="720" w:type="pct"/>
            <w:vAlign w:val="center"/>
          </w:tcPr>
          <w:p w14:paraId="6E848A8F">
            <w:pPr>
              <w:jc w:val="center"/>
              <w:rPr>
                <w:szCs w:val="21"/>
              </w:rPr>
            </w:pPr>
            <w:r>
              <w:rPr>
                <w:szCs w:val="21"/>
              </w:rPr>
              <w:t>隔墙两侧房间之间</w:t>
            </w:r>
          </w:p>
        </w:tc>
        <w:tc>
          <w:tcPr>
            <w:tcW w:w="3072" w:type="pct"/>
            <w:vMerge w:val="restart"/>
            <w:vAlign w:val="center"/>
          </w:tcPr>
          <w:p w14:paraId="6DC47088">
            <w:pPr>
              <w:jc w:val="center"/>
              <w:rPr>
                <w:szCs w:val="21"/>
              </w:rPr>
            </w:pPr>
            <w:r>
              <w:rPr>
                <w:szCs w:val="21"/>
              </w:rPr>
              <w:t>比现行国家标准《民用建筑隔声设计标准》GB 50118规定限值高3dB及以上</w:t>
            </w:r>
          </w:p>
        </w:tc>
      </w:tr>
      <w:tr w14:paraId="7C3A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vAlign w:val="center"/>
          </w:tcPr>
          <w:p w14:paraId="2B9FD895">
            <w:pPr>
              <w:jc w:val="center"/>
              <w:rPr>
                <w:szCs w:val="21"/>
              </w:rPr>
            </w:pPr>
          </w:p>
        </w:tc>
        <w:tc>
          <w:tcPr>
            <w:tcW w:w="690" w:type="pct"/>
            <w:vMerge w:val="continue"/>
            <w:vAlign w:val="center"/>
          </w:tcPr>
          <w:p w14:paraId="2E44988F">
            <w:pPr>
              <w:jc w:val="center"/>
              <w:rPr>
                <w:szCs w:val="21"/>
              </w:rPr>
            </w:pPr>
          </w:p>
        </w:tc>
        <w:tc>
          <w:tcPr>
            <w:tcW w:w="720" w:type="pct"/>
            <w:vAlign w:val="center"/>
          </w:tcPr>
          <w:p w14:paraId="189D63EB">
            <w:pPr>
              <w:jc w:val="center"/>
              <w:rPr>
                <w:szCs w:val="21"/>
              </w:rPr>
            </w:pPr>
            <w:r>
              <w:rPr>
                <w:szCs w:val="21"/>
              </w:rPr>
              <w:t>楼板两侧房间之间</w:t>
            </w:r>
          </w:p>
        </w:tc>
        <w:tc>
          <w:tcPr>
            <w:tcW w:w="3072" w:type="pct"/>
            <w:vMerge w:val="continue"/>
            <w:vAlign w:val="center"/>
          </w:tcPr>
          <w:p w14:paraId="690EEA29">
            <w:pPr>
              <w:jc w:val="center"/>
              <w:rPr>
                <w:szCs w:val="21"/>
              </w:rPr>
            </w:pPr>
          </w:p>
        </w:tc>
      </w:tr>
      <w:tr w14:paraId="0CD3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vAlign w:val="center"/>
          </w:tcPr>
          <w:p w14:paraId="5DAFFF1D">
            <w:pPr>
              <w:jc w:val="center"/>
              <w:rPr>
                <w:szCs w:val="21"/>
              </w:rPr>
            </w:pPr>
          </w:p>
        </w:tc>
        <w:tc>
          <w:tcPr>
            <w:tcW w:w="1410" w:type="pct"/>
            <w:gridSpan w:val="2"/>
            <w:vAlign w:val="center"/>
          </w:tcPr>
          <w:p w14:paraId="43DAF358">
            <w:pPr>
              <w:jc w:val="center"/>
              <w:rPr>
                <w:szCs w:val="21"/>
              </w:rPr>
            </w:pPr>
            <w:r>
              <w:rPr>
                <w:szCs w:val="21"/>
              </w:rPr>
              <w:t>楼板撞击声隔声</w:t>
            </w:r>
          </w:p>
        </w:tc>
        <w:tc>
          <w:tcPr>
            <w:tcW w:w="3072" w:type="pct"/>
            <w:vAlign w:val="center"/>
          </w:tcPr>
          <w:p w14:paraId="41B661D1">
            <w:pPr>
              <w:jc w:val="center"/>
              <w:rPr>
                <w:szCs w:val="21"/>
              </w:rPr>
            </w:pPr>
            <w:r>
              <w:rPr>
                <w:szCs w:val="21"/>
              </w:rPr>
              <w:t>比现行国家标准《民用建筑隔声设计标准》GB 50118规定限值低5dB及以上</w:t>
            </w:r>
          </w:p>
        </w:tc>
      </w:tr>
    </w:tbl>
    <w:p w14:paraId="2583B795">
      <w:pPr>
        <w:spacing w:before="120" w:after="120" w:line="312" w:lineRule="auto"/>
        <w:rPr>
          <w:sz w:val="24"/>
          <w:szCs w:val="24"/>
        </w:rPr>
      </w:pPr>
      <w:r>
        <w:rPr>
          <w:b/>
          <w:bCs/>
          <w:sz w:val="24"/>
          <w:szCs w:val="24"/>
        </w:rPr>
        <w:t>4.2.4</w:t>
      </w:r>
      <w:r>
        <w:rPr>
          <w:sz w:val="24"/>
          <w:szCs w:val="24"/>
        </w:rPr>
        <w:t xml:space="preserve"> 音乐厅、剧院、电影院、多用途厅堂等应符合《剧场、电影院和多用途厅堂建筑声学设计规范》GB/T 50356及相关建筑室内声学设计标准的要求。人员密集场所的混响时间不应超过2秒，并应避免出现回声、声聚焦、来回反射等声缺陷。</w:t>
      </w:r>
    </w:p>
    <w:p w14:paraId="4926A5AC">
      <w:pPr>
        <w:spacing w:before="120" w:after="120" w:line="312" w:lineRule="auto"/>
        <w:ind w:firstLine="480" w:firstLineChars="200"/>
        <w:rPr>
          <w:sz w:val="24"/>
          <w:szCs w:val="24"/>
        </w:rPr>
      </w:pPr>
      <w:r>
        <w:rPr>
          <w:sz w:val="24"/>
          <w:szCs w:val="24"/>
        </w:rPr>
        <w:t>电影院、影剧院等建筑的厅堂混响时间的频率特性，相对于 500 ～ 1000Hz 的比值，宜符合表4.2.4的规定。</w:t>
      </w:r>
    </w:p>
    <w:p w14:paraId="6AAE8974">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表4.2.4 各频率混响时间相对于 500 ～ 1000Hz 的比值</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1601"/>
        <w:gridCol w:w="1601"/>
        <w:gridCol w:w="1601"/>
        <w:gridCol w:w="1602"/>
      </w:tblGrid>
      <w:tr w14:paraId="1E3B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17" w:type="dxa"/>
            <w:vMerge w:val="restart"/>
            <w:vAlign w:val="center"/>
          </w:tcPr>
          <w:p w14:paraId="44DC1C67">
            <w:pPr>
              <w:jc w:val="center"/>
              <w:rPr>
                <w:szCs w:val="21"/>
              </w:rPr>
            </w:pPr>
            <w:r>
              <w:rPr>
                <w:szCs w:val="21"/>
              </w:rPr>
              <w:t>频率（Hz）</w:t>
            </w:r>
          </w:p>
        </w:tc>
        <w:tc>
          <w:tcPr>
            <w:tcW w:w="6405" w:type="dxa"/>
            <w:gridSpan w:val="4"/>
            <w:vAlign w:val="center"/>
          </w:tcPr>
          <w:p w14:paraId="4B3A7F86">
            <w:pPr>
              <w:jc w:val="center"/>
              <w:rPr>
                <w:szCs w:val="21"/>
              </w:rPr>
            </w:pPr>
            <w:r>
              <w:rPr>
                <w:szCs w:val="21"/>
              </w:rPr>
              <w:t>观众厅混响时间比值</w:t>
            </w:r>
          </w:p>
        </w:tc>
      </w:tr>
      <w:tr w14:paraId="6532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vMerge w:val="continue"/>
            <w:vAlign w:val="center"/>
          </w:tcPr>
          <w:p w14:paraId="593902B7">
            <w:pPr>
              <w:jc w:val="center"/>
              <w:rPr>
                <w:szCs w:val="21"/>
              </w:rPr>
            </w:pPr>
          </w:p>
        </w:tc>
        <w:tc>
          <w:tcPr>
            <w:tcW w:w="3202" w:type="dxa"/>
            <w:gridSpan w:val="2"/>
            <w:vAlign w:val="center"/>
          </w:tcPr>
          <w:p w14:paraId="7B2A01AA">
            <w:pPr>
              <w:jc w:val="center"/>
              <w:rPr>
                <w:szCs w:val="21"/>
              </w:rPr>
            </w:pPr>
            <w:r>
              <w:rPr>
                <w:szCs w:val="21"/>
              </w:rPr>
              <w:t>剧场</w:t>
            </w:r>
          </w:p>
        </w:tc>
        <w:tc>
          <w:tcPr>
            <w:tcW w:w="1601" w:type="dxa"/>
            <w:vMerge w:val="restart"/>
            <w:vAlign w:val="center"/>
          </w:tcPr>
          <w:p w14:paraId="158ED923">
            <w:pPr>
              <w:jc w:val="center"/>
              <w:rPr>
                <w:szCs w:val="21"/>
              </w:rPr>
            </w:pPr>
            <w:r>
              <w:rPr>
                <w:szCs w:val="21"/>
              </w:rPr>
              <w:t>电影院</w:t>
            </w:r>
          </w:p>
        </w:tc>
        <w:tc>
          <w:tcPr>
            <w:tcW w:w="1602" w:type="dxa"/>
            <w:vMerge w:val="restart"/>
            <w:vAlign w:val="center"/>
          </w:tcPr>
          <w:p w14:paraId="242CC94A">
            <w:pPr>
              <w:jc w:val="center"/>
              <w:rPr>
                <w:szCs w:val="21"/>
              </w:rPr>
            </w:pPr>
            <w:r>
              <w:rPr>
                <w:szCs w:val="21"/>
              </w:rPr>
              <w:t>会堂、报告厅和多用途礼堂</w:t>
            </w:r>
          </w:p>
        </w:tc>
      </w:tr>
      <w:tr w14:paraId="4A51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vMerge w:val="continue"/>
            <w:vAlign w:val="center"/>
          </w:tcPr>
          <w:p w14:paraId="6E4EB448">
            <w:pPr>
              <w:jc w:val="center"/>
              <w:rPr>
                <w:szCs w:val="21"/>
              </w:rPr>
            </w:pPr>
          </w:p>
        </w:tc>
        <w:tc>
          <w:tcPr>
            <w:tcW w:w="1601" w:type="dxa"/>
            <w:vAlign w:val="center"/>
          </w:tcPr>
          <w:p w14:paraId="5C672D3C">
            <w:pPr>
              <w:jc w:val="center"/>
              <w:rPr>
                <w:szCs w:val="21"/>
              </w:rPr>
            </w:pPr>
            <w:r>
              <w:rPr>
                <w:szCs w:val="21"/>
              </w:rPr>
              <w:t>歌剧</w:t>
            </w:r>
          </w:p>
        </w:tc>
        <w:tc>
          <w:tcPr>
            <w:tcW w:w="1601" w:type="dxa"/>
            <w:vAlign w:val="center"/>
          </w:tcPr>
          <w:p w14:paraId="7D3F3308">
            <w:pPr>
              <w:jc w:val="center"/>
              <w:rPr>
                <w:szCs w:val="21"/>
              </w:rPr>
            </w:pPr>
            <w:r>
              <w:rPr>
                <w:szCs w:val="21"/>
              </w:rPr>
              <w:t>话剧、戏曲</w:t>
            </w:r>
          </w:p>
        </w:tc>
        <w:tc>
          <w:tcPr>
            <w:tcW w:w="1601" w:type="dxa"/>
            <w:vMerge w:val="continue"/>
            <w:vAlign w:val="center"/>
          </w:tcPr>
          <w:p w14:paraId="7C95AABF">
            <w:pPr>
              <w:jc w:val="center"/>
              <w:rPr>
                <w:szCs w:val="21"/>
              </w:rPr>
            </w:pPr>
          </w:p>
        </w:tc>
        <w:tc>
          <w:tcPr>
            <w:tcW w:w="1602" w:type="dxa"/>
            <w:vMerge w:val="continue"/>
            <w:vAlign w:val="center"/>
          </w:tcPr>
          <w:p w14:paraId="14C45082">
            <w:pPr>
              <w:jc w:val="center"/>
              <w:rPr>
                <w:szCs w:val="21"/>
              </w:rPr>
            </w:pPr>
          </w:p>
        </w:tc>
      </w:tr>
      <w:tr w14:paraId="43C8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7" w:type="dxa"/>
            <w:vAlign w:val="center"/>
          </w:tcPr>
          <w:p w14:paraId="2C07383C">
            <w:pPr>
              <w:jc w:val="center"/>
              <w:rPr>
                <w:szCs w:val="21"/>
              </w:rPr>
            </w:pPr>
            <w:r>
              <w:rPr>
                <w:szCs w:val="21"/>
              </w:rPr>
              <w:t>125</w:t>
            </w:r>
          </w:p>
        </w:tc>
        <w:tc>
          <w:tcPr>
            <w:tcW w:w="1601" w:type="dxa"/>
            <w:vAlign w:val="center"/>
          </w:tcPr>
          <w:p w14:paraId="2C051736">
            <w:pPr>
              <w:jc w:val="center"/>
              <w:rPr>
                <w:szCs w:val="21"/>
              </w:rPr>
            </w:pPr>
            <w:r>
              <w:rPr>
                <w:szCs w:val="21"/>
              </w:rPr>
              <w:t>1.0~1.3</w:t>
            </w:r>
          </w:p>
        </w:tc>
        <w:tc>
          <w:tcPr>
            <w:tcW w:w="1601" w:type="dxa"/>
            <w:vAlign w:val="center"/>
          </w:tcPr>
          <w:p w14:paraId="5A583C0C">
            <w:pPr>
              <w:jc w:val="center"/>
              <w:rPr>
                <w:szCs w:val="21"/>
              </w:rPr>
            </w:pPr>
            <w:r>
              <w:rPr>
                <w:szCs w:val="21"/>
              </w:rPr>
              <w:t>1.0~1.3</w:t>
            </w:r>
          </w:p>
        </w:tc>
        <w:tc>
          <w:tcPr>
            <w:tcW w:w="1601" w:type="dxa"/>
            <w:vAlign w:val="center"/>
          </w:tcPr>
          <w:p w14:paraId="06047281">
            <w:pPr>
              <w:jc w:val="center"/>
              <w:rPr>
                <w:szCs w:val="21"/>
              </w:rPr>
            </w:pPr>
            <w:r>
              <w:rPr>
                <w:szCs w:val="21"/>
              </w:rPr>
              <w:t>1.0~1.2</w:t>
            </w:r>
          </w:p>
        </w:tc>
        <w:tc>
          <w:tcPr>
            <w:tcW w:w="1602" w:type="dxa"/>
            <w:vAlign w:val="center"/>
          </w:tcPr>
          <w:p w14:paraId="73A95FAE">
            <w:pPr>
              <w:jc w:val="center"/>
              <w:rPr>
                <w:szCs w:val="21"/>
              </w:rPr>
            </w:pPr>
            <w:r>
              <w:rPr>
                <w:szCs w:val="21"/>
              </w:rPr>
              <w:t>1.0~1.3</w:t>
            </w:r>
          </w:p>
        </w:tc>
      </w:tr>
      <w:tr w14:paraId="01C6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vAlign w:val="center"/>
          </w:tcPr>
          <w:p w14:paraId="7EB58F7B">
            <w:pPr>
              <w:jc w:val="center"/>
              <w:rPr>
                <w:szCs w:val="21"/>
              </w:rPr>
            </w:pPr>
            <w:r>
              <w:rPr>
                <w:szCs w:val="21"/>
              </w:rPr>
              <w:t>250</w:t>
            </w:r>
          </w:p>
        </w:tc>
        <w:tc>
          <w:tcPr>
            <w:tcW w:w="1601" w:type="dxa"/>
            <w:vAlign w:val="center"/>
          </w:tcPr>
          <w:p w14:paraId="164E4CAF">
            <w:pPr>
              <w:jc w:val="center"/>
              <w:rPr>
                <w:szCs w:val="21"/>
              </w:rPr>
            </w:pPr>
            <w:r>
              <w:rPr>
                <w:szCs w:val="21"/>
              </w:rPr>
              <w:t>1.0~1.15</w:t>
            </w:r>
          </w:p>
        </w:tc>
        <w:tc>
          <w:tcPr>
            <w:tcW w:w="1601" w:type="dxa"/>
            <w:vAlign w:val="center"/>
          </w:tcPr>
          <w:p w14:paraId="54E097BC">
            <w:pPr>
              <w:jc w:val="center"/>
              <w:rPr>
                <w:szCs w:val="21"/>
              </w:rPr>
            </w:pPr>
            <w:r>
              <w:rPr>
                <w:szCs w:val="21"/>
              </w:rPr>
              <w:t>1.0~1.15</w:t>
            </w:r>
          </w:p>
        </w:tc>
        <w:tc>
          <w:tcPr>
            <w:tcW w:w="1601" w:type="dxa"/>
            <w:vAlign w:val="center"/>
          </w:tcPr>
          <w:p w14:paraId="4729F00C">
            <w:pPr>
              <w:jc w:val="center"/>
              <w:rPr>
                <w:szCs w:val="21"/>
              </w:rPr>
            </w:pPr>
            <w:r>
              <w:rPr>
                <w:szCs w:val="21"/>
              </w:rPr>
              <w:t>1.0~1.1</w:t>
            </w:r>
          </w:p>
        </w:tc>
        <w:tc>
          <w:tcPr>
            <w:tcW w:w="1602" w:type="dxa"/>
            <w:vAlign w:val="center"/>
          </w:tcPr>
          <w:p w14:paraId="2EEAD3A7">
            <w:pPr>
              <w:jc w:val="center"/>
              <w:rPr>
                <w:szCs w:val="21"/>
              </w:rPr>
            </w:pPr>
            <w:r>
              <w:rPr>
                <w:szCs w:val="21"/>
              </w:rPr>
              <w:t>1.0~1.15</w:t>
            </w:r>
          </w:p>
        </w:tc>
      </w:tr>
      <w:tr w14:paraId="6C3C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vAlign w:val="center"/>
          </w:tcPr>
          <w:p w14:paraId="360D51A3">
            <w:pPr>
              <w:jc w:val="center"/>
              <w:rPr>
                <w:szCs w:val="21"/>
              </w:rPr>
            </w:pPr>
            <w:r>
              <w:rPr>
                <w:szCs w:val="21"/>
              </w:rPr>
              <w:t>2000</w:t>
            </w:r>
          </w:p>
        </w:tc>
        <w:tc>
          <w:tcPr>
            <w:tcW w:w="1601" w:type="dxa"/>
            <w:vAlign w:val="center"/>
          </w:tcPr>
          <w:p w14:paraId="38019BB5">
            <w:pPr>
              <w:jc w:val="center"/>
              <w:rPr>
                <w:szCs w:val="21"/>
              </w:rPr>
            </w:pPr>
            <w:r>
              <w:rPr>
                <w:szCs w:val="21"/>
              </w:rPr>
              <w:t>0.9~1.0</w:t>
            </w:r>
          </w:p>
        </w:tc>
        <w:tc>
          <w:tcPr>
            <w:tcW w:w="1601" w:type="dxa"/>
            <w:vAlign w:val="center"/>
          </w:tcPr>
          <w:p w14:paraId="30BF2FCB">
            <w:pPr>
              <w:jc w:val="center"/>
              <w:rPr>
                <w:szCs w:val="21"/>
              </w:rPr>
            </w:pPr>
            <w:r>
              <w:rPr>
                <w:szCs w:val="21"/>
              </w:rPr>
              <w:t>0.9~1.0</w:t>
            </w:r>
          </w:p>
        </w:tc>
        <w:tc>
          <w:tcPr>
            <w:tcW w:w="1601" w:type="dxa"/>
            <w:vAlign w:val="center"/>
          </w:tcPr>
          <w:p w14:paraId="31994BB3">
            <w:pPr>
              <w:jc w:val="center"/>
              <w:rPr>
                <w:szCs w:val="21"/>
              </w:rPr>
            </w:pPr>
            <w:r>
              <w:rPr>
                <w:szCs w:val="21"/>
              </w:rPr>
              <w:t>0.9~1.0</w:t>
            </w:r>
          </w:p>
        </w:tc>
        <w:tc>
          <w:tcPr>
            <w:tcW w:w="1602" w:type="dxa"/>
            <w:vAlign w:val="center"/>
          </w:tcPr>
          <w:p w14:paraId="60F9DA68">
            <w:pPr>
              <w:jc w:val="center"/>
              <w:rPr>
                <w:szCs w:val="21"/>
              </w:rPr>
            </w:pPr>
            <w:r>
              <w:rPr>
                <w:szCs w:val="21"/>
              </w:rPr>
              <w:t>0.9~1.0</w:t>
            </w:r>
          </w:p>
        </w:tc>
      </w:tr>
      <w:tr w14:paraId="1D41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7" w:type="dxa"/>
            <w:vAlign w:val="center"/>
          </w:tcPr>
          <w:p w14:paraId="6FBD43A7">
            <w:pPr>
              <w:jc w:val="center"/>
              <w:rPr>
                <w:szCs w:val="21"/>
              </w:rPr>
            </w:pPr>
            <w:r>
              <w:rPr>
                <w:szCs w:val="21"/>
              </w:rPr>
              <w:t>4000</w:t>
            </w:r>
          </w:p>
        </w:tc>
        <w:tc>
          <w:tcPr>
            <w:tcW w:w="1601" w:type="dxa"/>
            <w:vAlign w:val="center"/>
          </w:tcPr>
          <w:p w14:paraId="4AD947B1">
            <w:pPr>
              <w:jc w:val="center"/>
              <w:rPr>
                <w:szCs w:val="21"/>
              </w:rPr>
            </w:pPr>
            <w:r>
              <w:rPr>
                <w:szCs w:val="21"/>
              </w:rPr>
              <w:t>0.8~1.0</w:t>
            </w:r>
          </w:p>
        </w:tc>
        <w:tc>
          <w:tcPr>
            <w:tcW w:w="1601" w:type="dxa"/>
            <w:vAlign w:val="center"/>
          </w:tcPr>
          <w:p w14:paraId="0CA02C0B">
            <w:pPr>
              <w:jc w:val="center"/>
              <w:rPr>
                <w:szCs w:val="21"/>
              </w:rPr>
            </w:pPr>
            <w:r>
              <w:rPr>
                <w:szCs w:val="21"/>
              </w:rPr>
              <w:t>0.8~1.0</w:t>
            </w:r>
          </w:p>
        </w:tc>
        <w:tc>
          <w:tcPr>
            <w:tcW w:w="1601" w:type="dxa"/>
            <w:vAlign w:val="center"/>
          </w:tcPr>
          <w:p w14:paraId="77C65432">
            <w:pPr>
              <w:jc w:val="center"/>
              <w:rPr>
                <w:szCs w:val="21"/>
              </w:rPr>
            </w:pPr>
            <w:r>
              <w:rPr>
                <w:szCs w:val="21"/>
              </w:rPr>
              <w:t>0.8~1.0</w:t>
            </w:r>
          </w:p>
        </w:tc>
        <w:tc>
          <w:tcPr>
            <w:tcW w:w="1602" w:type="dxa"/>
            <w:vAlign w:val="center"/>
          </w:tcPr>
          <w:p w14:paraId="0E98F6D5">
            <w:pPr>
              <w:jc w:val="center"/>
              <w:rPr>
                <w:szCs w:val="21"/>
              </w:rPr>
            </w:pPr>
            <w:r>
              <w:rPr>
                <w:szCs w:val="21"/>
              </w:rPr>
              <w:t>0.8~1.0</w:t>
            </w:r>
          </w:p>
        </w:tc>
      </w:tr>
    </w:tbl>
    <w:p w14:paraId="0D8C267B">
      <w:pPr>
        <w:spacing w:line="312" w:lineRule="auto"/>
        <w:jc w:val="center"/>
        <w:rPr>
          <w:szCs w:val="21"/>
        </w:rPr>
        <w:sectPr>
          <w:footerReference r:id="rId10" w:type="default"/>
          <w:pgSz w:w="11906" w:h="16838"/>
          <w:pgMar w:top="1440" w:right="1800" w:bottom="1440" w:left="1800" w:header="851" w:footer="992" w:gutter="0"/>
          <w:cols w:space="425" w:num="1"/>
          <w:docGrid w:type="lines" w:linePitch="312" w:charSpace="0"/>
        </w:sectPr>
      </w:pPr>
    </w:p>
    <w:p w14:paraId="54ACF88D">
      <w:pPr>
        <w:spacing w:before="120" w:after="120" w:line="312" w:lineRule="auto"/>
        <w:jc w:val="center"/>
        <w:rPr>
          <w:b/>
          <w:bCs/>
          <w:sz w:val="24"/>
          <w:szCs w:val="24"/>
        </w:rPr>
      </w:pPr>
      <w:bookmarkStart w:id="112" w:name="_Toc201158887"/>
      <w:bookmarkStart w:id="113" w:name="_Toc21378"/>
      <w:r>
        <w:rPr>
          <w:b/>
          <w:bCs/>
          <w:sz w:val="24"/>
          <w:szCs w:val="24"/>
        </w:rPr>
        <w:t>Ⅲ 光环境</w:t>
      </w:r>
      <w:bookmarkEnd w:id="112"/>
      <w:bookmarkEnd w:id="113"/>
    </w:p>
    <w:p w14:paraId="0AC81816">
      <w:pPr>
        <w:spacing w:before="120" w:after="120" w:line="312" w:lineRule="auto"/>
        <w:rPr>
          <w:sz w:val="24"/>
          <w:szCs w:val="24"/>
        </w:rPr>
      </w:pPr>
      <w:r>
        <w:rPr>
          <w:b/>
          <w:bCs/>
          <w:sz w:val="24"/>
          <w:szCs w:val="24"/>
        </w:rPr>
        <w:t>4.2.5</w:t>
      </w:r>
      <w:r>
        <w:rPr>
          <w:sz w:val="24"/>
          <w:szCs w:val="24"/>
        </w:rPr>
        <w:t xml:space="preserve"> 建筑室内空间的天然采光除应符合现行国家标准《建筑环境通用规范》GB 55016和《建筑采光设计标准》GB50033的相关要求外，</w:t>
      </w:r>
      <w:r>
        <w:rPr>
          <w:rFonts w:hint="eastAsia"/>
          <w:sz w:val="24"/>
          <w:szCs w:val="24"/>
        </w:rPr>
        <w:t>尚</w:t>
      </w:r>
      <w:r>
        <w:rPr>
          <w:sz w:val="24"/>
          <w:szCs w:val="24"/>
        </w:rPr>
        <w:t>应满足下列天然采光照度值要求：</w:t>
      </w:r>
    </w:p>
    <w:p w14:paraId="3950B5D2">
      <w:pPr>
        <w:spacing w:before="120" w:after="120" w:line="312" w:lineRule="auto"/>
        <w:ind w:firstLine="482" w:firstLineChars="200"/>
        <w:rPr>
          <w:sz w:val="24"/>
          <w:szCs w:val="24"/>
        </w:rPr>
      </w:pPr>
      <w:r>
        <w:rPr>
          <w:b/>
          <w:bCs/>
          <w:sz w:val="24"/>
          <w:szCs w:val="24"/>
        </w:rPr>
        <w:t>1</w:t>
      </w:r>
      <w:r>
        <w:rPr>
          <w:sz w:val="24"/>
          <w:szCs w:val="24"/>
        </w:rPr>
        <w:t xml:space="preserve"> 住宅建筑室内的采光标准值和采光时数</w:t>
      </w:r>
      <w:r>
        <w:rPr>
          <w:rFonts w:hint="eastAsia"/>
          <w:sz w:val="24"/>
          <w:szCs w:val="24"/>
        </w:rPr>
        <w:t>不应</w:t>
      </w:r>
      <w:r>
        <w:rPr>
          <w:sz w:val="24"/>
          <w:szCs w:val="24"/>
        </w:rPr>
        <w:t>低于表4.1.5-1的规定。</w:t>
      </w:r>
    </w:p>
    <w:p w14:paraId="685C0B1C">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表4.2.5-1 住宅建筑的采光标准值</w:t>
      </w:r>
    </w:p>
    <w:tbl>
      <w:tblPr>
        <w:tblStyle w:val="11"/>
        <w:tblpPr w:leftFromText="180" w:rightFromText="180" w:vertAnchor="text" w:horzAnchor="page" w:tblpXSpec="center" w:tblpY="9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7"/>
        <w:gridCol w:w="2614"/>
        <w:gridCol w:w="1736"/>
      </w:tblGrid>
      <w:tr w14:paraId="3755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7" w:type="dxa"/>
            <w:vAlign w:val="center"/>
          </w:tcPr>
          <w:p w14:paraId="2E231880">
            <w:pPr>
              <w:jc w:val="center"/>
              <w:rPr>
                <w:szCs w:val="21"/>
              </w:rPr>
            </w:pPr>
            <w:r>
              <w:rPr>
                <w:szCs w:val="21"/>
              </w:rPr>
              <w:t>空间类型</w:t>
            </w:r>
          </w:p>
        </w:tc>
        <w:tc>
          <w:tcPr>
            <w:tcW w:w="2614" w:type="dxa"/>
            <w:vAlign w:val="center"/>
          </w:tcPr>
          <w:p w14:paraId="136FAC7C">
            <w:pPr>
              <w:jc w:val="center"/>
              <w:rPr>
                <w:szCs w:val="21"/>
              </w:rPr>
            </w:pPr>
            <w:r>
              <w:rPr>
                <w:szCs w:val="21"/>
              </w:rPr>
              <w:t>室内天然光</w:t>
            </w:r>
          </w:p>
          <w:p w14:paraId="3E38DD8D">
            <w:pPr>
              <w:jc w:val="center"/>
              <w:rPr>
                <w:szCs w:val="21"/>
              </w:rPr>
            </w:pPr>
            <w:r>
              <w:rPr>
                <w:szCs w:val="21"/>
              </w:rPr>
              <w:t>照度值（lx）</w:t>
            </w:r>
          </w:p>
        </w:tc>
        <w:tc>
          <w:tcPr>
            <w:tcW w:w="1736" w:type="dxa"/>
            <w:vAlign w:val="center"/>
          </w:tcPr>
          <w:p w14:paraId="26982F29">
            <w:pPr>
              <w:jc w:val="center"/>
              <w:rPr>
                <w:szCs w:val="21"/>
              </w:rPr>
            </w:pPr>
            <w:r>
              <w:rPr>
                <w:szCs w:val="21"/>
              </w:rPr>
              <w:t>采光时数</w:t>
            </w:r>
          </w:p>
        </w:tc>
      </w:tr>
      <w:tr w14:paraId="55BE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2257" w:type="dxa"/>
            <w:vAlign w:val="center"/>
          </w:tcPr>
          <w:p w14:paraId="76D465F0">
            <w:pPr>
              <w:jc w:val="center"/>
              <w:rPr>
                <w:szCs w:val="21"/>
              </w:rPr>
            </w:pPr>
            <w:r>
              <w:rPr>
                <w:szCs w:val="21"/>
              </w:rPr>
              <w:t>起居室</w:t>
            </w:r>
          </w:p>
        </w:tc>
        <w:tc>
          <w:tcPr>
            <w:tcW w:w="2614" w:type="dxa"/>
            <w:vAlign w:val="center"/>
          </w:tcPr>
          <w:p w14:paraId="4D57A757">
            <w:pPr>
              <w:jc w:val="center"/>
              <w:rPr>
                <w:szCs w:val="21"/>
              </w:rPr>
            </w:pPr>
            <w:r>
              <w:rPr>
                <w:szCs w:val="21"/>
              </w:rPr>
              <w:t>300</w:t>
            </w:r>
          </w:p>
        </w:tc>
        <w:tc>
          <w:tcPr>
            <w:tcW w:w="1736" w:type="dxa"/>
            <w:vAlign w:val="center"/>
          </w:tcPr>
          <w:p w14:paraId="36BB97E3">
            <w:pPr>
              <w:jc w:val="center"/>
              <w:rPr>
                <w:szCs w:val="21"/>
              </w:rPr>
            </w:pPr>
            <w:r>
              <w:rPr>
                <w:szCs w:val="21"/>
              </w:rPr>
              <w:t>7h/d</w:t>
            </w:r>
          </w:p>
        </w:tc>
      </w:tr>
      <w:tr w14:paraId="2B6B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2257" w:type="dxa"/>
            <w:vAlign w:val="center"/>
          </w:tcPr>
          <w:p w14:paraId="0EF7AC9C">
            <w:pPr>
              <w:jc w:val="center"/>
              <w:rPr>
                <w:szCs w:val="21"/>
              </w:rPr>
            </w:pPr>
            <w:r>
              <w:rPr>
                <w:szCs w:val="21"/>
              </w:rPr>
              <w:t>书房</w:t>
            </w:r>
          </w:p>
        </w:tc>
        <w:tc>
          <w:tcPr>
            <w:tcW w:w="2614" w:type="dxa"/>
            <w:vAlign w:val="center"/>
          </w:tcPr>
          <w:p w14:paraId="4EA58D60">
            <w:pPr>
              <w:jc w:val="center"/>
              <w:rPr>
                <w:szCs w:val="21"/>
              </w:rPr>
            </w:pPr>
            <w:r>
              <w:rPr>
                <w:szCs w:val="21"/>
              </w:rPr>
              <w:t>450</w:t>
            </w:r>
          </w:p>
        </w:tc>
        <w:tc>
          <w:tcPr>
            <w:tcW w:w="1736" w:type="dxa"/>
            <w:vAlign w:val="center"/>
          </w:tcPr>
          <w:p w14:paraId="402D7843">
            <w:pPr>
              <w:jc w:val="center"/>
              <w:rPr>
                <w:szCs w:val="21"/>
              </w:rPr>
            </w:pPr>
            <w:r>
              <w:rPr>
                <w:szCs w:val="21"/>
              </w:rPr>
              <w:t>7h/d</w:t>
            </w:r>
          </w:p>
        </w:tc>
      </w:tr>
      <w:tr w14:paraId="40DB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257" w:type="dxa"/>
            <w:vAlign w:val="center"/>
          </w:tcPr>
          <w:p w14:paraId="555124D7">
            <w:pPr>
              <w:jc w:val="center"/>
              <w:rPr>
                <w:szCs w:val="21"/>
              </w:rPr>
            </w:pPr>
            <w:r>
              <w:rPr>
                <w:szCs w:val="21"/>
              </w:rPr>
              <w:t>卧室，厨房</w:t>
            </w:r>
          </w:p>
        </w:tc>
        <w:tc>
          <w:tcPr>
            <w:tcW w:w="2614" w:type="dxa"/>
            <w:vAlign w:val="center"/>
          </w:tcPr>
          <w:p w14:paraId="24FF2712">
            <w:pPr>
              <w:jc w:val="center"/>
              <w:rPr>
                <w:szCs w:val="21"/>
              </w:rPr>
            </w:pPr>
            <w:r>
              <w:rPr>
                <w:szCs w:val="21"/>
              </w:rPr>
              <w:t>300</w:t>
            </w:r>
          </w:p>
        </w:tc>
        <w:tc>
          <w:tcPr>
            <w:tcW w:w="1736" w:type="dxa"/>
            <w:vAlign w:val="center"/>
          </w:tcPr>
          <w:p w14:paraId="6B8AA4A5">
            <w:pPr>
              <w:jc w:val="center"/>
              <w:rPr>
                <w:szCs w:val="21"/>
              </w:rPr>
            </w:pPr>
            <w:r>
              <w:rPr>
                <w:szCs w:val="21"/>
              </w:rPr>
              <w:t>6h/d</w:t>
            </w:r>
          </w:p>
        </w:tc>
      </w:tr>
    </w:tbl>
    <w:p w14:paraId="479345CE">
      <w:pPr>
        <w:spacing w:before="120" w:after="120" w:line="312" w:lineRule="auto"/>
        <w:rPr>
          <w:b/>
          <w:bCs/>
          <w:sz w:val="24"/>
          <w:szCs w:val="24"/>
        </w:rPr>
      </w:pPr>
    </w:p>
    <w:p w14:paraId="77E9B9A3">
      <w:pPr>
        <w:spacing w:before="120" w:after="120" w:line="312" w:lineRule="auto"/>
        <w:ind w:firstLine="482" w:firstLineChars="200"/>
        <w:rPr>
          <w:sz w:val="24"/>
          <w:szCs w:val="24"/>
        </w:rPr>
      </w:pPr>
      <w:r>
        <w:rPr>
          <w:b/>
          <w:bCs/>
          <w:sz w:val="24"/>
          <w:szCs w:val="24"/>
        </w:rPr>
        <w:t>2</w:t>
      </w:r>
      <w:r>
        <w:rPr>
          <w:sz w:val="24"/>
          <w:szCs w:val="24"/>
        </w:rPr>
        <w:t xml:space="preserve"> 教育建筑室内的采光标准值和采光时数</w:t>
      </w:r>
      <w:r>
        <w:rPr>
          <w:rFonts w:hint="eastAsia"/>
          <w:sz w:val="24"/>
          <w:szCs w:val="24"/>
        </w:rPr>
        <w:t>不应</w:t>
      </w:r>
      <w:r>
        <w:rPr>
          <w:sz w:val="24"/>
          <w:szCs w:val="24"/>
        </w:rPr>
        <w:t>低于表4.2.5-2的规定。</w:t>
      </w:r>
    </w:p>
    <w:p w14:paraId="5C839F32">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表4.2.5-2 教育建筑的采光标准值</w:t>
      </w:r>
    </w:p>
    <w:tbl>
      <w:tblPr>
        <w:tblStyle w:val="11"/>
        <w:tblpPr w:leftFromText="180" w:rightFromText="180" w:vertAnchor="text" w:horzAnchor="page" w:tblpXSpec="center" w:tblpY="1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2453"/>
        <w:gridCol w:w="1544"/>
      </w:tblGrid>
      <w:tr w14:paraId="150C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vAlign w:val="center"/>
          </w:tcPr>
          <w:p w14:paraId="407F1A1B">
            <w:pPr>
              <w:jc w:val="center"/>
              <w:rPr>
                <w:szCs w:val="21"/>
              </w:rPr>
            </w:pPr>
            <w:r>
              <w:rPr>
                <w:szCs w:val="21"/>
              </w:rPr>
              <w:t>空间类型</w:t>
            </w:r>
          </w:p>
        </w:tc>
        <w:tc>
          <w:tcPr>
            <w:tcW w:w="2453" w:type="dxa"/>
            <w:vAlign w:val="center"/>
          </w:tcPr>
          <w:p w14:paraId="67194896">
            <w:pPr>
              <w:jc w:val="center"/>
              <w:rPr>
                <w:szCs w:val="21"/>
              </w:rPr>
            </w:pPr>
            <w:r>
              <w:rPr>
                <w:szCs w:val="21"/>
              </w:rPr>
              <w:t>室内天然光</w:t>
            </w:r>
          </w:p>
          <w:p w14:paraId="500286F8">
            <w:pPr>
              <w:jc w:val="center"/>
              <w:rPr>
                <w:szCs w:val="21"/>
              </w:rPr>
            </w:pPr>
            <w:r>
              <w:rPr>
                <w:szCs w:val="21"/>
              </w:rPr>
              <w:t>照度值（lx）</w:t>
            </w:r>
          </w:p>
        </w:tc>
        <w:tc>
          <w:tcPr>
            <w:tcW w:w="1544" w:type="dxa"/>
            <w:vAlign w:val="center"/>
          </w:tcPr>
          <w:p w14:paraId="0C00C831">
            <w:pPr>
              <w:jc w:val="center"/>
              <w:rPr>
                <w:szCs w:val="21"/>
              </w:rPr>
            </w:pPr>
            <w:r>
              <w:rPr>
                <w:szCs w:val="21"/>
              </w:rPr>
              <w:t>采光时数</w:t>
            </w:r>
          </w:p>
        </w:tc>
      </w:tr>
      <w:tr w14:paraId="1AC1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97" w:type="dxa"/>
            <w:vAlign w:val="center"/>
          </w:tcPr>
          <w:p w14:paraId="21BF8E0E">
            <w:pPr>
              <w:jc w:val="center"/>
              <w:rPr>
                <w:szCs w:val="21"/>
              </w:rPr>
            </w:pPr>
            <w:r>
              <w:rPr>
                <w:szCs w:val="21"/>
              </w:rPr>
              <w:t>小学、中学教室</w:t>
            </w:r>
          </w:p>
        </w:tc>
        <w:tc>
          <w:tcPr>
            <w:tcW w:w="2453" w:type="dxa"/>
            <w:vAlign w:val="center"/>
          </w:tcPr>
          <w:p w14:paraId="4CB9797D">
            <w:pPr>
              <w:jc w:val="center"/>
              <w:rPr>
                <w:szCs w:val="21"/>
              </w:rPr>
            </w:pPr>
            <w:r>
              <w:rPr>
                <w:szCs w:val="21"/>
              </w:rPr>
              <w:t>450</w:t>
            </w:r>
          </w:p>
        </w:tc>
        <w:tc>
          <w:tcPr>
            <w:tcW w:w="1544" w:type="dxa"/>
            <w:vAlign w:val="center"/>
          </w:tcPr>
          <w:p w14:paraId="0276986A">
            <w:pPr>
              <w:jc w:val="center"/>
              <w:rPr>
                <w:szCs w:val="21"/>
              </w:rPr>
            </w:pPr>
            <w:r>
              <w:rPr>
                <w:szCs w:val="21"/>
              </w:rPr>
              <w:t>8h/d</w:t>
            </w:r>
          </w:p>
        </w:tc>
      </w:tr>
      <w:tr w14:paraId="1C11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97" w:type="dxa"/>
            <w:vAlign w:val="center"/>
          </w:tcPr>
          <w:p w14:paraId="18B48677">
            <w:pPr>
              <w:jc w:val="center"/>
              <w:rPr>
                <w:szCs w:val="21"/>
              </w:rPr>
            </w:pPr>
            <w:r>
              <w:rPr>
                <w:szCs w:val="21"/>
              </w:rPr>
              <w:t>其他教室</w:t>
            </w:r>
          </w:p>
        </w:tc>
        <w:tc>
          <w:tcPr>
            <w:tcW w:w="2453" w:type="dxa"/>
            <w:vAlign w:val="center"/>
          </w:tcPr>
          <w:p w14:paraId="60973C2D">
            <w:pPr>
              <w:jc w:val="center"/>
              <w:rPr>
                <w:szCs w:val="21"/>
              </w:rPr>
            </w:pPr>
            <w:r>
              <w:rPr>
                <w:szCs w:val="21"/>
              </w:rPr>
              <w:t>400</w:t>
            </w:r>
          </w:p>
        </w:tc>
        <w:tc>
          <w:tcPr>
            <w:tcW w:w="1544" w:type="dxa"/>
            <w:vAlign w:val="center"/>
          </w:tcPr>
          <w:p w14:paraId="24EC65FD">
            <w:pPr>
              <w:jc w:val="center"/>
              <w:rPr>
                <w:szCs w:val="21"/>
              </w:rPr>
            </w:pPr>
            <w:r>
              <w:rPr>
                <w:szCs w:val="21"/>
              </w:rPr>
              <w:t>7h/d</w:t>
            </w:r>
          </w:p>
        </w:tc>
      </w:tr>
      <w:tr w14:paraId="37FE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97" w:type="dxa"/>
            <w:vAlign w:val="center"/>
          </w:tcPr>
          <w:p w14:paraId="5FD093F0">
            <w:pPr>
              <w:jc w:val="center"/>
              <w:rPr>
                <w:szCs w:val="21"/>
              </w:rPr>
            </w:pPr>
            <w:r>
              <w:rPr>
                <w:szCs w:val="21"/>
              </w:rPr>
              <w:t>老师办公室</w:t>
            </w:r>
          </w:p>
        </w:tc>
        <w:tc>
          <w:tcPr>
            <w:tcW w:w="2453" w:type="dxa"/>
            <w:vAlign w:val="center"/>
          </w:tcPr>
          <w:p w14:paraId="5FC83567">
            <w:pPr>
              <w:jc w:val="center"/>
              <w:rPr>
                <w:szCs w:val="21"/>
              </w:rPr>
            </w:pPr>
            <w:r>
              <w:rPr>
                <w:szCs w:val="21"/>
              </w:rPr>
              <w:t>400</w:t>
            </w:r>
          </w:p>
        </w:tc>
        <w:tc>
          <w:tcPr>
            <w:tcW w:w="1544" w:type="dxa"/>
            <w:vAlign w:val="center"/>
          </w:tcPr>
          <w:p w14:paraId="1EB59ABE">
            <w:pPr>
              <w:jc w:val="center"/>
              <w:rPr>
                <w:szCs w:val="21"/>
              </w:rPr>
            </w:pPr>
            <w:r>
              <w:rPr>
                <w:szCs w:val="21"/>
              </w:rPr>
              <w:t>7h/d</w:t>
            </w:r>
          </w:p>
        </w:tc>
      </w:tr>
    </w:tbl>
    <w:p w14:paraId="25B76B80">
      <w:pPr>
        <w:spacing w:before="120" w:after="120" w:line="312" w:lineRule="auto"/>
        <w:rPr>
          <w:b/>
          <w:bCs/>
          <w:sz w:val="24"/>
          <w:szCs w:val="24"/>
        </w:rPr>
      </w:pPr>
    </w:p>
    <w:p w14:paraId="08A3D1C3">
      <w:pPr>
        <w:spacing w:before="120" w:after="120" w:line="312" w:lineRule="auto"/>
        <w:ind w:firstLine="482" w:firstLineChars="200"/>
        <w:rPr>
          <w:sz w:val="24"/>
          <w:szCs w:val="24"/>
        </w:rPr>
      </w:pPr>
      <w:r>
        <w:rPr>
          <w:b/>
          <w:bCs/>
          <w:sz w:val="24"/>
          <w:szCs w:val="24"/>
        </w:rPr>
        <w:t>3</w:t>
      </w:r>
      <w:r>
        <w:rPr>
          <w:sz w:val="24"/>
          <w:szCs w:val="24"/>
        </w:rPr>
        <w:t xml:space="preserve"> 医疗建筑室内的采光照度值和采光时数</w:t>
      </w:r>
      <w:r>
        <w:rPr>
          <w:rFonts w:hint="eastAsia"/>
          <w:sz w:val="24"/>
          <w:szCs w:val="24"/>
        </w:rPr>
        <w:t>不应</w:t>
      </w:r>
      <w:r>
        <w:rPr>
          <w:sz w:val="24"/>
          <w:szCs w:val="24"/>
        </w:rPr>
        <w:t>低于表4.1.5-3的规定</w:t>
      </w:r>
    </w:p>
    <w:p w14:paraId="0FB2EB87">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表4.2.5-3 医疗建筑室内的采光标准值</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6"/>
        <w:gridCol w:w="1695"/>
        <w:gridCol w:w="1605"/>
      </w:tblGrid>
      <w:tr w14:paraId="3CA6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vAlign w:val="center"/>
          </w:tcPr>
          <w:p w14:paraId="5E024AAC">
            <w:pPr>
              <w:jc w:val="center"/>
              <w:rPr>
                <w:szCs w:val="21"/>
              </w:rPr>
            </w:pPr>
            <w:r>
              <w:rPr>
                <w:szCs w:val="21"/>
              </w:rPr>
              <w:t>空间类型</w:t>
            </w:r>
          </w:p>
        </w:tc>
        <w:tc>
          <w:tcPr>
            <w:tcW w:w="1695" w:type="dxa"/>
            <w:vAlign w:val="center"/>
          </w:tcPr>
          <w:p w14:paraId="18F77DE8">
            <w:pPr>
              <w:jc w:val="center"/>
              <w:rPr>
                <w:szCs w:val="21"/>
              </w:rPr>
            </w:pPr>
            <w:r>
              <w:rPr>
                <w:szCs w:val="21"/>
              </w:rPr>
              <w:t>室内天然光</w:t>
            </w:r>
          </w:p>
          <w:p w14:paraId="69A5E374">
            <w:pPr>
              <w:jc w:val="center"/>
              <w:rPr>
                <w:szCs w:val="21"/>
              </w:rPr>
            </w:pPr>
            <w:r>
              <w:rPr>
                <w:szCs w:val="21"/>
              </w:rPr>
              <w:t>照度值（lx）</w:t>
            </w:r>
          </w:p>
        </w:tc>
        <w:tc>
          <w:tcPr>
            <w:tcW w:w="1605" w:type="dxa"/>
            <w:vAlign w:val="center"/>
          </w:tcPr>
          <w:p w14:paraId="1C13BF7F">
            <w:pPr>
              <w:jc w:val="center"/>
              <w:rPr>
                <w:szCs w:val="21"/>
              </w:rPr>
            </w:pPr>
            <w:r>
              <w:rPr>
                <w:szCs w:val="21"/>
              </w:rPr>
              <w:t>采光时数</w:t>
            </w:r>
          </w:p>
        </w:tc>
      </w:tr>
      <w:tr w14:paraId="6F58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586" w:type="dxa"/>
            <w:vAlign w:val="center"/>
          </w:tcPr>
          <w:p w14:paraId="4CA376B0">
            <w:pPr>
              <w:jc w:val="center"/>
              <w:rPr>
                <w:szCs w:val="21"/>
              </w:rPr>
            </w:pPr>
            <w:r>
              <w:rPr>
                <w:szCs w:val="21"/>
              </w:rPr>
              <w:t>一般病房</w:t>
            </w:r>
          </w:p>
        </w:tc>
        <w:tc>
          <w:tcPr>
            <w:tcW w:w="1695" w:type="dxa"/>
            <w:vAlign w:val="center"/>
          </w:tcPr>
          <w:p w14:paraId="360D245E">
            <w:pPr>
              <w:jc w:val="center"/>
              <w:rPr>
                <w:szCs w:val="21"/>
              </w:rPr>
            </w:pPr>
            <w:r>
              <w:rPr>
                <w:szCs w:val="21"/>
              </w:rPr>
              <w:t>300</w:t>
            </w:r>
          </w:p>
        </w:tc>
        <w:tc>
          <w:tcPr>
            <w:tcW w:w="1605" w:type="dxa"/>
            <w:vAlign w:val="center"/>
          </w:tcPr>
          <w:p w14:paraId="3138E93D">
            <w:pPr>
              <w:jc w:val="center"/>
              <w:rPr>
                <w:szCs w:val="21"/>
              </w:rPr>
            </w:pPr>
            <w:r>
              <w:rPr>
                <w:szCs w:val="21"/>
              </w:rPr>
              <w:t>7h/d</w:t>
            </w:r>
          </w:p>
        </w:tc>
      </w:tr>
      <w:tr w14:paraId="4A6D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586" w:type="dxa"/>
            <w:vAlign w:val="center"/>
          </w:tcPr>
          <w:p w14:paraId="361BCC8D">
            <w:pPr>
              <w:jc w:val="center"/>
              <w:rPr>
                <w:szCs w:val="21"/>
              </w:rPr>
            </w:pPr>
            <w:r>
              <w:rPr>
                <w:szCs w:val="21"/>
              </w:rPr>
              <w:t>诊室、药房、治疗室、化验室</w:t>
            </w:r>
          </w:p>
        </w:tc>
        <w:tc>
          <w:tcPr>
            <w:tcW w:w="1695" w:type="dxa"/>
            <w:vAlign w:val="center"/>
          </w:tcPr>
          <w:p w14:paraId="63831F27">
            <w:pPr>
              <w:jc w:val="center"/>
              <w:rPr>
                <w:szCs w:val="21"/>
              </w:rPr>
            </w:pPr>
            <w:r>
              <w:rPr>
                <w:szCs w:val="21"/>
              </w:rPr>
              <w:t>450</w:t>
            </w:r>
          </w:p>
        </w:tc>
        <w:tc>
          <w:tcPr>
            <w:tcW w:w="1605" w:type="dxa"/>
            <w:vAlign w:val="center"/>
          </w:tcPr>
          <w:p w14:paraId="384F0485">
            <w:pPr>
              <w:jc w:val="center"/>
              <w:rPr>
                <w:szCs w:val="21"/>
              </w:rPr>
            </w:pPr>
            <w:r>
              <w:rPr>
                <w:szCs w:val="21"/>
              </w:rPr>
              <w:t>7h/d</w:t>
            </w:r>
          </w:p>
        </w:tc>
      </w:tr>
      <w:tr w14:paraId="0E6E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586" w:type="dxa"/>
            <w:vAlign w:val="center"/>
          </w:tcPr>
          <w:p w14:paraId="582304CF">
            <w:pPr>
              <w:jc w:val="center"/>
              <w:rPr>
                <w:szCs w:val="21"/>
              </w:rPr>
            </w:pPr>
            <w:r>
              <w:rPr>
                <w:szCs w:val="21"/>
              </w:rPr>
              <w:t>办公室、候诊室、综合大厅、挂号处</w:t>
            </w:r>
          </w:p>
        </w:tc>
        <w:tc>
          <w:tcPr>
            <w:tcW w:w="1695" w:type="dxa"/>
            <w:vAlign w:val="center"/>
          </w:tcPr>
          <w:p w14:paraId="527C6E9C">
            <w:pPr>
              <w:jc w:val="center"/>
              <w:rPr>
                <w:szCs w:val="21"/>
              </w:rPr>
            </w:pPr>
            <w:r>
              <w:rPr>
                <w:szCs w:val="21"/>
              </w:rPr>
              <w:t>300</w:t>
            </w:r>
          </w:p>
        </w:tc>
        <w:tc>
          <w:tcPr>
            <w:tcW w:w="1605" w:type="dxa"/>
            <w:vAlign w:val="center"/>
          </w:tcPr>
          <w:p w14:paraId="0AAC48B7">
            <w:pPr>
              <w:jc w:val="center"/>
              <w:rPr>
                <w:szCs w:val="21"/>
              </w:rPr>
            </w:pPr>
            <w:r>
              <w:rPr>
                <w:szCs w:val="21"/>
              </w:rPr>
              <w:t>6h/d</w:t>
            </w:r>
          </w:p>
        </w:tc>
      </w:tr>
    </w:tbl>
    <w:p w14:paraId="3A6BF56A">
      <w:pPr>
        <w:spacing w:before="120" w:after="120" w:line="312" w:lineRule="auto"/>
        <w:ind w:firstLine="480" w:firstLineChars="200"/>
        <w:rPr>
          <w:sz w:val="24"/>
          <w:szCs w:val="24"/>
        </w:rPr>
      </w:pPr>
    </w:p>
    <w:p w14:paraId="5AB2B7A7">
      <w:pPr>
        <w:spacing w:before="120" w:after="120" w:line="312" w:lineRule="auto"/>
        <w:ind w:firstLine="482" w:firstLineChars="200"/>
        <w:rPr>
          <w:sz w:val="24"/>
          <w:szCs w:val="24"/>
        </w:rPr>
      </w:pPr>
      <w:r>
        <w:rPr>
          <w:b/>
          <w:bCs/>
          <w:sz w:val="24"/>
          <w:szCs w:val="24"/>
        </w:rPr>
        <w:t>4</w:t>
      </w:r>
      <w:r>
        <w:rPr>
          <w:sz w:val="24"/>
          <w:szCs w:val="24"/>
        </w:rPr>
        <w:t xml:space="preserve"> 办公建筑室内的采光照度值和采光时数</w:t>
      </w:r>
      <w:r>
        <w:rPr>
          <w:rFonts w:hint="eastAsia"/>
          <w:sz w:val="24"/>
          <w:szCs w:val="24"/>
        </w:rPr>
        <w:t>不应</w:t>
      </w:r>
      <w:r>
        <w:rPr>
          <w:sz w:val="24"/>
          <w:szCs w:val="24"/>
        </w:rPr>
        <w:t>低于表4.1.5-4的规定</w:t>
      </w:r>
    </w:p>
    <w:p w14:paraId="153C5AD6">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表4.2.5-4办公建筑室内的采光标准值</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2453"/>
        <w:gridCol w:w="1632"/>
      </w:tblGrid>
      <w:tr w14:paraId="0233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vAlign w:val="center"/>
          </w:tcPr>
          <w:p w14:paraId="47757D10">
            <w:pPr>
              <w:jc w:val="center"/>
              <w:rPr>
                <w:szCs w:val="21"/>
              </w:rPr>
            </w:pPr>
            <w:r>
              <w:rPr>
                <w:szCs w:val="21"/>
              </w:rPr>
              <w:t>空间类型</w:t>
            </w:r>
          </w:p>
        </w:tc>
        <w:tc>
          <w:tcPr>
            <w:tcW w:w="2453" w:type="dxa"/>
            <w:vAlign w:val="center"/>
          </w:tcPr>
          <w:p w14:paraId="014BA6EF">
            <w:pPr>
              <w:jc w:val="center"/>
              <w:rPr>
                <w:szCs w:val="21"/>
              </w:rPr>
            </w:pPr>
            <w:r>
              <w:rPr>
                <w:szCs w:val="21"/>
              </w:rPr>
              <w:t>室内天然光</w:t>
            </w:r>
          </w:p>
          <w:p w14:paraId="4E4FC350">
            <w:pPr>
              <w:jc w:val="center"/>
              <w:rPr>
                <w:szCs w:val="21"/>
              </w:rPr>
            </w:pPr>
            <w:r>
              <w:rPr>
                <w:szCs w:val="21"/>
              </w:rPr>
              <w:t>照度值（lx）</w:t>
            </w:r>
          </w:p>
        </w:tc>
        <w:tc>
          <w:tcPr>
            <w:tcW w:w="1632" w:type="dxa"/>
            <w:vAlign w:val="center"/>
          </w:tcPr>
          <w:p w14:paraId="6504BF82">
            <w:pPr>
              <w:jc w:val="center"/>
              <w:rPr>
                <w:szCs w:val="21"/>
              </w:rPr>
            </w:pPr>
            <w:r>
              <w:rPr>
                <w:szCs w:val="21"/>
              </w:rPr>
              <w:t>采光时数</w:t>
            </w:r>
          </w:p>
        </w:tc>
      </w:tr>
      <w:tr w14:paraId="1BDB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71" w:type="dxa"/>
            <w:vAlign w:val="center"/>
          </w:tcPr>
          <w:p w14:paraId="1998A2C4">
            <w:pPr>
              <w:jc w:val="center"/>
              <w:rPr>
                <w:szCs w:val="21"/>
              </w:rPr>
            </w:pPr>
            <w:r>
              <w:rPr>
                <w:szCs w:val="21"/>
              </w:rPr>
              <w:t>办公室</w:t>
            </w:r>
          </w:p>
        </w:tc>
        <w:tc>
          <w:tcPr>
            <w:tcW w:w="2453" w:type="dxa"/>
            <w:vAlign w:val="center"/>
          </w:tcPr>
          <w:p w14:paraId="0FA9020A">
            <w:pPr>
              <w:jc w:val="center"/>
              <w:rPr>
                <w:szCs w:val="21"/>
              </w:rPr>
            </w:pPr>
            <w:r>
              <w:rPr>
                <w:szCs w:val="21"/>
              </w:rPr>
              <w:t>450</w:t>
            </w:r>
          </w:p>
        </w:tc>
        <w:tc>
          <w:tcPr>
            <w:tcW w:w="1632" w:type="dxa"/>
            <w:vAlign w:val="center"/>
          </w:tcPr>
          <w:p w14:paraId="61BFF307">
            <w:pPr>
              <w:jc w:val="center"/>
              <w:rPr>
                <w:szCs w:val="21"/>
              </w:rPr>
            </w:pPr>
            <w:r>
              <w:rPr>
                <w:szCs w:val="21"/>
              </w:rPr>
              <w:t>7h/d</w:t>
            </w:r>
          </w:p>
        </w:tc>
      </w:tr>
      <w:tr w14:paraId="6AC1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71" w:type="dxa"/>
            <w:vAlign w:val="center"/>
          </w:tcPr>
          <w:p w14:paraId="43321139">
            <w:pPr>
              <w:jc w:val="center"/>
              <w:rPr>
                <w:szCs w:val="21"/>
              </w:rPr>
            </w:pPr>
            <w:r>
              <w:rPr>
                <w:szCs w:val="21"/>
              </w:rPr>
              <w:t>设计室、绘图室</w:t>
            </w:r>
          </w:p>
        </w:tc>
        <w:tc>
          <w:tcPr>
            <w:tcW w:w="2453" w:type="dxa"/>
            <w:vAlign w:val="center"/>
          </w:tcPr>
          <w:p w14:paraId="72CB7D2A">
            <w:pPr>
              <w:jc w:val="center"/>
              <w:rPr>
                <w:szCs w:val="21"/>
              </w:rPr>
            </w:pPr>
            <w:r>
              <w:rPr>
                <w:szCs w:val="21"/>
              </w:rPr>
              <w:t>600</w:t>
            </w:r>
          </w:p>
        </w:tc>
        <w:tc>
          <w:tcPr>
            <w:tcW w:w="1632" w:type="dxa"/>
            <w:vAlign w:val="center"/>
          </w:tcPr>
          <w:p w14:paraId="038D9CB6">
            <w:pPr>
              <w:jc w:val="center"/>
              <w:rPr>
                <w:szCs w:val="21"/>
              </w:rPr>
            </w:pPr>
            <w:r>
              <w:rPr>
                <w:szCs w:val="21"/>
              </w:rPr>
              <w:t>7h/d</w:t>
            </w:r>
          </w:p>
        </w:tc>
      </w:tr>
      <w:tr w14:paraId="3CE7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71" w:type="dxa"/>
            <w:vAlign w:val="center"/>
          </w:tcPr>
          <w:p w14:paraId="2330FBED">
            <w:pPr>
              <w:jc w:val="center"/>
              <w:rPr>
                <w:szCs w:val="21"/>
              </w:rPr>
            </w:pPr>
            <w:r>
              <w:rPr>
                <w:szCs w:val="21"/>
              </w:rPr>
              <w:t>会议室</w:t>
            </w:r>
          </w:p>
        </w:tc>
        <w:tc>
          <w:tcPr>
            <w:tcW w:w="2453" w:type="dxa"/>
            <w:vAlign w:val="center"/>
          </w:tcPr>
          <w:p w14:paraId="293D7569">
            <w:pPr>
              <w:jc w:val="center"/>
              <w:rPr>
                <w:szCs w:val="21"/>
              </w:rPr>
            </w:pPr>
            <w:r>
              <w:rPr>
                <w:szCs w:val="21"/>
              </w:rPr>
              <w:t>450</w:t>
            </w:r>
          </w:p>
        </w:tc>
        <w:tc>
          <w:tcPr>
            <w:tcW w:w="1632" w:type="dxa"/>
            <w:vAlign w:val="center"/>
          </w:tcPr>
          <w:p w14:paraId="35CE0D78">
            <w:pPr>
              <w:jc w:val="center"/>
              <w:rPr>
                <w:szCs w:val="21"/>
              </w:rPr>
            </w:pPr>
            <w:r>
              <w:rPr>
                <w:szCs w:val="21"/>
              </w:rPr>
              <w:t>6h/d</w:t>
            </w:r>
          </w:p>
        </w:tc>
      </w:tr>
    </w:tbl>
    <w:p w14:paraId="18B21C9F">
      <w:pPr>
        <w:spacing w:before="120" w:after="120" w:line="312" w:lineRule="auto"/>
        <w:ind w:firstLine="480" w:firstLineChars="200"/>
        <w:rPr>
          <w:sz w:val="24"/>
          <w:szCs w:val="24"/>
        </w:rPr>
      </w:pPr>
    </w:p>
    <w:p w14:paraId="0400C4C6">
      <w:pPr>
        <w:spacing w:before="120" w:after="120" w:line="312" w:lineRule="auto"/>
        <w:ind w:firstLine="482" w:firstLineChars="200"/>
        <w:rPr>
          <w:sz w:val="24"/>
          <w:szCs w:val="24"/>
        </w:rPr>
      </w:pPr>
      <w:r>
        <w:rPr>
          <w:b/>
          <w:bCs/>
          <w:sz w:val="24"/>
          <w:szCs w:val="24"/>
        </w:rPr>
        <w:t>5</w:t>
      </w:r>
      <w:r>
        <w:rPr>
          <w:sz w:val="24"/>
          <w:szCs w:val="24"/>
        </w:rPr>
        <w:t xml:space="preserve"> 图书馆建筑室内的采光照度值和采光时数</w:t>
      </w:r>
      <w:r>
        <w:rPr>
          <w:rFonts w:hint="eastAsia"/>
          <w:sz w:val="24"/>
          <w:szCs w:val="24"/>
        </w:rPr>
        <w:t>不应</w:t>
      </w:r>
      <w:r>
        <w:rPr>
          <w:sz w:val="24"/>
          <w:szCs w:val="24"/>
        </w:rPr>
        <w:t>低于表4.1.5-5的规定</w:t>
      </w:r>
    </w:p>
    <w:p w14:paraId="2C899E92">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表4.2.5-5 图书馆建筑室内的采光标准值</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2453"/>
        <w:gridCol w:w="1632"/>
      </w:tblGrid>
      <w:tr w14:paraId="5D2E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vAlign w:val="center"/>
          </w:tcPr>
          <w:p w14:paraId="36951B2F">
            <w:pPr>
              <w:jc w:val="center"/>
              <w:rPr>
                <w:szCs w:val="21"/>
              </w:rPr>
            </w:pPr>
            <w:r>
              <w:rPr>
                <w:szCs w:val="21"/>
              </w:rPr>
              <w:t>空间类型</w:t>
            </w:r>
          </w:p>
        </w:tc>
        <w:tc>
          <w:tcPr>
            <w:tcW w:w="2453" w:type="dxa"/>
            <w:vAlign w:val="center"/>
          </w:tcPr>
          <w:p w14:paraId="1140B33E">
            <w:pPr>
              <w:jc w:val="center"/>
              <w:rPr>
                <w:szCs w:val="21"/>
              </w:rPr>
            </w:pPr>
            <w:r>
              <w:rPr>
                <w:szCs w:val="21"/>
              </w:rPr>
              <w:t>室内天然光</w:t>
            </w:r>
          </w:p>
          <w:p w14:paraId="7A290AD7">
            <w:pPr>
              <w:jc w:val="center"/>
              <w:rPr>
                <w:szCs w:val="21"/>
              </w:rPr>
            </w:pPr>
            <w:r>
              <w:rPr>
                <w:szCs w:val="21"/>
              </w:rPr>
              <w:t>照度值（lx）</w:t>
            </w:r>
          </w:p>
        </w:tc>
        <w:tc>
          <w:tcPr>
            <w:tcW w:w="1632" w:type="dxa"/>
            <w:vAlign w:val="center"/>
          </w:tcPr>
          <w:p w14:paraId="1391D896">
            <w:pPr>
              <w:jc w:val="center"/>
              <w:rPr>
                <w:szCs w:val="21"/>
              </w:rPr>
            </w:pPr>
            <w:r>
              <w:rPr>
                <w:szCs w:val="21"/>
              </w:rPr>
              <w:t>采光时数</w:t>
            </w:r>
          </w:p>
        </w:tc>
      </w:tr>
      <w:tr w14:paraId="0737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71" w:type="dxa"/>
            <w:vAlign w:val="center"/>
          </w:tcPr>
          <w:p w14:paraId="6522C46A">
            <w:pPr>
              <w:jc w:val="center"/>
              <w:rPr>
                <w:szCs w:val="21"/>
              </w:rPr>
            </w:pPr>
            <w:r>
              <w:rPr>
                <w:szCs w:val="21"/>
              </w:rPr>
              <w:t>阅览室、开架书库</w:t>
            </w:r>
          </w:p>
        </w:tc>
        <w:tc>
          <w:tcPr>
            <w:tcW w:w="2453" w:type="dxa"/>
            <w:vAlign w:val="center"/>
          </w:tcPr>
          <w:p w14:paraId="01D6027C">
            <w:pPr>
              <w:jc w:val="center"/>
              <w:rPr>
                <w:szCs w:val="21"/>
              </w:rPr>
            </w:pPr>
            <w:r>
              <w:rPr>
                <w:szCs w:val="21"/>
              </w:rPr>
              <w:t>450</w:t>
            </w:r>
          </w:p>
        </w:tc>
        <w:tc>
          <w:tcPr>
            <w:tcW w:w="1632" w:type="dxa"/>
            <w:vAlign w:val="center"/>
          </w:tcPr>
          <w:p w14:paraId="0A29F8B6">
            <w:pPr>
              <w:jc w:val="center"/>
              <w:rPr>
                <w:szCs w:val="21"/>
              </w:rPr>
            </w:pPr>
            <w:r>
              <w:rPr>
                <w:szCs w:val="21"/>
              </w:rPr>
              <w:t>7h/d</w:t>
            </w:r>
          </w:p>
        </w:tc>
      </w:tr>
      <w:tr w14:paraId="74F5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871" w:type="dxa"/>
            <w:vAlign w:val="center"/>
          </w:tcPr>
          <w:p w14:paraId="669F5D66">
            <w:pPr>
              <w:jc w:val="center"/>
              <w:rPr>
                <w:szCs w:val="21"/>
              </w:rPr>
            </w:pPr>
            <w:r>
              <w:rPr>
                <w:szCs w:val="21"/>
              </w:rPr>
              <w:t>目录室</w:t>
            </w:r>
          </w:p>
        </w:tc>
        <w:tc>
          <w:tcPr>
            <w:tcW w:w="2453" w:type="dxa"/>
            <w:vAlign w:val="center"/>
          </w:tcPr>
          <w:p w14:paraId="0ACF09F9">
            <w:pPr>
              <w:jc w:val="center"/>
              <w:rPr>
                <w:szCs w:val="21"/>
              </w:rPr>
            </w:pPr>
            <w:r>
              <w:rPr>
                <w:szCs w:val="21"/>
              </w:rPr>
              <w:t>300</w:t>
            </w:r>
          </w:p>
        </w:tc>
        <w:tc>
          <w:tcPr>
            <w:tcW w:w="1632" w:type="dxa"/>
            <w:vAlign w:val="center"/>
          </w:tcPr>
          <w:p w14:paraId="43BE41F7">
            <w:pPr>
              <w:jc w:val="center"/>
              <w:rPr>
                <w:szCs w:val="21"/>
              </w:rPr>
            </w:pPr>
            <w:r>
              <w:rPr>
                <w:szCs w:val="21"/>
              </w:rPr>
              <w:t>7h/d</w:t>
            </w:r>
          </w:p>
        </w:tc>
      </w:tr>
    </w:tbl>
    <w:p w14:paraId="07D0CBB3">
      <w:pPr>
        <w:spacing w:before="120" w:after="120" w:line="312" w:lineRule="auto"/>
        <w:ind w:firstLine="480" w:firstLineChars="200"/>
        <w:rPr>
          <w:sz w:val="24"/>
          <w:szCs w:val="24"/>
        </w:rPr>
      </w:pPr>
    </w:p>
    <w:p w14:paraId="70233D69">
      <w:pPr>
        <w:spacing w:before="120" w:after="120" w:line="312" w:lineRule="auto"/>
        <w:ind w:firstLine="482" w:firstLineChars="200"/>
        <w:rPr>
          <w:sz w:val="24"/>
          <w:szCs w:val="24"/>
        </w:rPr>
      </w:pPr>
      <w:r>
        <w:rPr>
          <w:b/>
          <w:bCs/>
          <w:sz w:val="24"/>
          <w:szCs w:val="24"/>
        </w:rPr>
        <w:t>6</w:t>
      </w:r>
      <w:r>
        <w:rPr>
          <w:sz w:val="24"/>
          <w:szCs w:val="24"/>
        </w:rPr>
        <w:t xml:space="preserve"> 旅馆建筑室内的采光照度值和采光时数</w:t>
      </w:r>
      <w:r>
        <w:rPr>
          <w:rFonts w:hint="eastAsia"/>
          <w:sz w:val="24"/>
          <w:szCs w:val="24"/>
        </w:rPr>
        <w:t>不应</w:t>
      </w:r>
      <w:r>
        <w:rPr>
          <w:sz w:val="24"/>
          <w:szCs w:val="24"/>
        </w:rPr>
        <w:t>低于表4.1.5-6的规定</w:t>
      </w:r>
    </w:p>
    <w:p w14:paraId="12F7C581">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表4.2.5-6旅馆建筑室内的采光标准值</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2453"/>
        <w:gridCol w:w="1632"/>
      </w:tblGrid>
      <w:tr w14:paraId="5043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vAlign w:val="center"/>
          </w:tcPr>
          <w:p w14:paraId="4660B01E">
            <w:pPr>
              <w:jc w:val="center"/>
              <w:rPr>
                <w:szCs w:val="21"/>
              </w:rPr>
            </w:pPr>
            <w:r>
              <w:rPr>
                <w:szCs w:val="21"/>
              </w:rPr>
              <w:t>空间类型</w:t>
            </w:r>
          </w:p>
        </w:tc>
        <w:tc>
          <w:tcPr>
            <w:tcW w:w="2453" w:type="dxa"/>
            <w:vAlign w:val="center"/>
          </w:tcPr>
          <w:p w14:paraId="065148F7">
            <w:pPr>
              <w:jc w:val="center"/>
              <w:rPr>
                <w:szCs w:val="21"/>
              </w:rPr>
            </w:pPr>
            <w:r>
              <w:rPr>
                <w:szCs w:val="21"/>
              </w:rPr>
              <w:t>室内天然光</w:t>
            </w:r>
          </w:p>
          <w:p w14:paraId="7768EBF1">
            <w:pPr>
              <w:jc w:val="center"/>
              <w:rPr>
                <w:szCs w:val="21"/>
              </w:rPr>
            </w:pPr>
            <w:r>
              <w:rPr>
                <w:szCs w:val="21"/>
              </w:rPr>
              <w:t>照度值（lx）</w:t>
            </w:r>
          </w:p>
        </w:tc>
        <w:tc>
          <w:tcPr>
            <w:tcW w:w="1632" w:type="dxa"/>
            <w:vAlign w:val="center"/>
          </w:tcPr>
          <w:p w14:paraId="0F306FF2">
            <w:pPr>
              <w:jc w:val="center"/>
              <w:rPr>
                <w:szCs w:val="21"/>
              </w:rPr>
            </w:pPr>
            <w:r>
              <w:rPr>
                <w:szCs w:val="21"/>
              </w:rPr>
              <w:t>采光时数</w:t>
            </w:r>
          </w:p>
        </w:tc>
      </w:tr>
      <w:tr w14:paraId="78BC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71" w:type="dxa"/>
            <w:vAlign w:val="center"/>
          </w:tcPr>
          <w:p w14:paraId="3EF7421B">
            <w:pPr>
              <w:jc w:val="center"/>
              <w:rPr>
                <w:szCs w:val="21"/>
              </w:rPr>
            </w:pPr>
            <w:r>
              <w:rPr>
                <w:szCs w:val="21"/>
              </w:rPr>
              <w:t>客房、大堂</w:t>
            </w:r>
          </w:p>
        </w:tc>
        <w:tc>
          <w:tcPr>
            <w:tcW w:w="2453" w:type="dxa"/>
            <w:vAlign w:val="center"/>
          </w:tcPr>
          <w:p w14:paraId="2EAFE0B3">
            <w:pPr>
              <w:jc w:val="center"/>
              <w:rPr>
                <w:szCs w:val="21"/>
              </w:rPr>
            </w:pPr>
            <w:r>
              <w:rPr>
                <w:szCs w:val="21"/>
              </w:rPr>
              <w:t>300</w:t>
            </w:r>
          </w:p>
        </w:tc>
        <w:tc>
          <w:tcPr>
            <w:tcW w:w="1632" w:type="dxa"/>
            <w:vAlign w:val="center"/>
          </w:tcPr>
          <w:p w14:paraId="2C4BF32B">
            <w:pPr>
              <w:jc w:val="center"/>
              <w:rPr>
                <w:szCs w:val="21"/>
              </w:rPr>
            </w:pPr>
            <w:r>
              <w:rPr>
                <w:szCs w:val="21"/>
              </w:rPr>
              <w:t>7h/d</w:t>
            </w:r>
          </w:p>
        </w:tc>
      </w:tr>
      <w:tr w14:paraId="31A6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71" w:type="dxa"/>
            <w:vAlign w:val="center"/>
          </w:tcPr>
          <w:p w14:paraId="7254ACAE">
            <w:pPr>
              <w:jc w:val="center"/>
              <w:rPr>
                <w:szCs w:val="21"/>
              </w:rPr>
            </w:pPr>
            <w:r>
              <w:rPr>
                <w:szCs w:val="21"/>
              </w:rPr>
              <w:t>会议室</w:t>
            </w:r>
          </w:p>
        </w:tc>
        <w:tc>
          <w:tcPr>
            <w:tcW w:w="2453" w:type="dxa"/>
            <w:vAlign w:val="center"/>
          </w:tcPr>
          <w:p w14:paraId="3571768A">
            <w:pPr>
              <w:jc w:val="center"/>
              <w:rPr>
                <w:szCs w:val="21"/>
              </w:rPr>
            </w:pPr>
            <w:r>
              <w:rPr>
                <w:szCs w:val="21"/>
              </w:rPr>
              <w:t>450</w:t>
            </w:r>
          </w:p>
        </w:tc>
        <w:tc>
          <w:tcPr>
            <w:tcW w:w="1632" w:type="dxa"/>
            <w:vAlign w:val="center"/>
          </w:tcPr>
          <w:p w14:paraId="5CDD5230">
            <w:pPr>
              <w:jc w:val="center"/>
              <w:rPr>
                <w:szCs w:val="21"/>
              </w:rPr>
            </w:pPr>
            <w:r>
              <w:rPr>
                <w:szCs w:val="21"/>
              </w:rPr>
              <w:t>6h/d</w:t>
            </w:r>
          </w:p>
        </w:tc>
      </w:tr>
    </w:tbl>
    <w:p w14:paraId="6D1C3F3E">
      <w:pPr>
        <w:spacing w:before="120" w:after="120" w:line="312" w:lineRule="auto"/>
        <w:ind w:firstLine="480" w:firstLineChars="200"/>
        <w:rPr>
          <w:sz w:val="24"/>
          <w:szCs w:val="24"/>
        </w:rPr>
      </w:pPr>
    </w:p>
    <w:p w14:paraId="6FB30BEE">
      <w:pPr>
        <w:spacing w:before="120" w:after="120" w:line="312" w:lineRule="auto"/>
        <w:ind w:firstLine="482" w:firstLineChars="200"/>
        <w:rPr>
          <w:sz w:val="24"/>
          <w:szCs w:val="24"/>
        </w:rPr>
      </w:pPr>
      <w:r>
        <w:rPr>
          <w:b/>
          <w:bCs/>
          <w:sz w:val="24"/>
          <w:szCs w:val="24"/>
        </w:rPr>
        <w:t>7</w:t>
      </w:r>
      <w:r>
        <w:rPr>
          <w:sz w:val="24"/>
          <w:szCs w:val="24"/>
        </w:rPr>
        <w:t xml:space="preserve"> 交通建筑室内的采光照度值和采光时数</w:t>
      </w:r>
      <w:r>
        <w:rPr>
          <w:rFonts w:hint="eastAsia"/>
          <w:sz w:val="24"/>
          <w:szCs w:val="24"/>
        </w:rPr>
        <w:t>不应</w:t>
      </w:r>
      <w:r>
        <w:rPr>
          <w:sz w:val="24"/>
          <w:szCs w:val="24"/>
        </w:rPr>
        <w:t>低于表4.1.5-7的规定</w:t>
      </w:r>
    </w:p>
    <w:p w14:paraId="42DDA491">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表4.2.5-7交通建筑室内的采光标准值</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2453"/>
        <w:gridCol w:w="1632"/>
      </w:tblGrid>
      <w:tr w14:paraId="542D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vAlign w:val="center"/>
          </w:tcPr>
          <w:p w14:paraId="4BFF394C">
            <w:pPr>
              <w:jc w:val="center"/>
              <w:rPr>
                <w:szCs w:val="21"/>
              </w:rPr>
            </w:pPr>
            <w:r>
              <w:rPr>
                <w:szCs w:val="21"/>
              </w:rPr>
              <w:t>空间类型</w:t>
            </w:r>
          </w:p>
        </w:tc>
        <w:tc>
          <w:tcPr>
            <w:tcW w:w="2453" w:type="dxa"/>
            <w:vAlign w:val="center"/>
          </w:tcPr>
          <w:p w14:paraId="194604A9">
            <w:pPr>
              <w:jc w:val="center"/>
              <w:rPr>
                <w:szCs w:val="21"/>
              </w:rPr>
            </w:pPr>
            <w:r>
              <w:rPr>
                <w:szCs w:val="21"/>
              </w:rPr>
              <w:t>室内天然光</w:t>
            </w:r>
          </w:p>
          <w:p w14:paraId="2E2D7806">
            <w:pPr>
              <w:jc w:val="center"/>
              <w:rPr>
                <w:szCs w:val="21"/>
              </w:rPr>
            </w:pPr>
            <w:r>
              <w:rPr>
                <w:szCs w:val="21"/>
              </w:rPr>
              <w:t>照度值（lx）</w:t>
            </w:r>
          </w:p>
        </w:tc>
        <w:tc>
          <w:tcPr>
            <w:tcW w:w="1632" w:type="dxa"/>
            <w:vAlign w:val="center"/>
          </w:tcPr>
          <w:p w14:paraId="2162539A">
            <w:pPr>
              <w:jc w:val="center"/>
              <w:rPr>
                <w:szCs w:val="21"/>
              </w:rPr>
            </w:pPr>
            <w:r>
              <w:rPr>
                <w:szCs w:val="21"/>
              </w:rPr>
              <w:t>采光时数</w:t>
            </w:r>
          </w:p>
        </w:tc>
      </w:tr>
      <w:tr w14:paraId="66DF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71" w:type="dxa"/>
            <w:vAlign w:val="center"/>
          </w:tcPr>
          <w:p w14:paraId="0187F241">
            <w:pPr>
              <w:jc w:val="center"/>
              <w:rPr>
                <w:szCs w:val="21"/>
              </w:rPr>
            </w:pPr>
            <w:r>
              <w:rPr>
                <w:szCs w:val="21"/>
              </w:rPr>
              <w:t>候机（车、船）厅</w:t>
            </w:r>
          </w:p>
        </w:tc>
        <w:tc>
          <w:tcPr>
            <w:tcW w:w="2453" w:type="dxa"/>
            <w:vAlign w:val="center"/>
          </w:tcPr>
          <w:p w14:paraId="57655FBC">
            <w:pPr>
              <w:jc w:val="center"/>
              <w:rPr>
                <w:szCs w:val="21"/>
              </w:rPr>
            </w:pPr>
            <w:r>
              <w:rPr>
                <w:szCs w:val="21"/>
              </w:rPr>
              <w:t>450</w:t>
            </w:r>
          </w:p>
        </w:tc>
        <w:tc>
          <w:tcPr>
            <w:tcW w:w="1632" w:type="dxa"/>
            <w:vAlign w:val="center"/>
          </w:tcPr>
          <w:p w14:paraId="67168B02">
            <w:pPr>
              <w:jc w:val="center"/>
              <w:rPr>
                <w:szCs w:val="21"/>
              </w:rPr>
            </w:pPr>
            <w:r>
              <w:rPr>
                <w:szCs w:val="21"/>
              </w:rPr>
              <w:t>8h/d</w:t>
            </w:r>
          </w:p>
        </w:tc>
      </w:tr>
      <w:tr w14:paraId="7AD5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71" w:type="dxa"/>
            <w:vAlign w:val="center"/>
          </w:tcPr>
          <w:p w14:paraId="307A33D6">
            <w:pPr>
              <w:jc w:val="center"/>
              <w:rPr>
                <w:szCs w:val="21"/>
              </w:rPr>
            </w:pPr>
            <w:r>
              <w:rPr>
                <w:szCs w:val="21"/>
              </w:rPr>
              <w:t>进站厅</w:t>
            </w:r>
          </w:p>
        </w:tc>
        <w:tc>
          <w:tcPr>
            <w:tcW w:w="2453" w:type="dxa"/>
            <w:vAlign w:val="center"/>
          </w:tcPr>
          <w:p w14:paraId="5B235F9F">
            <w:pPr>
              <w:jc w:val="center"/>
              <w:rPr>
                <w:szCs w:val="21"/>
              </w:rPr>
            </w:pPr>
            <w:r>
              <w:rPr>
                <w:szCs w:val="21"/>
              </w:rPr>
              <w:t>450</w:t>
            </w:r>
          </w:p>
        </w:tc>
        <w:tc>
          <w:tcPr>
            <w:tcW w:w="1632" w:type="dxa"/>
            <w:vAlign w:val="center"/>
          </w:tcPr>
          <w:p w14:paraId="77185084">
            <w:pPr>
              <w:jc w:val="center"/>
              <w:rPr>
                <w:szCs w:val="21"/>
              </w:rPr>
            </w:pPr>
            <w:r>
              <w:rPr>
                <w:szCs w:val="21"/>
              </w:rPr>
              <w:t>7h/d</w:t>
            </w:r>
          </w:p>
        </w:tc>
      </w:tr>
    </w:tbl>
    <w:p w14:paraId="79C69D35">
      <w:pPr>
        <w:spacing w:before="120" w:after="120" w:line="312" w:lineRule="auto"/>
        <w:ind w:firstLine="480" w:firstLineChars="200"/>
        <w:rPr>
          <w:sz w:val="24"/>
          <w:szCs w:val="24"/>
        </w:rPr>
      </w:pPr>
    </w:p>
    <w:p w14:paraId="5389F50F">
      <w:pPr>
        <w:spacing w:before="120" w:after="120" w:line="312" w:lineRule="auto"/>
        <w:jc w:val="center"/>
        <w:rPr>
          <w:sz w:val="24"/>
          <w:szCs w:val="24"/>
        </w:rPr>
      </w:pPr>
      <w:bookmarkStart w:id="114" w:name="_Toc23348"/>
      <w:r>
        <w:rPr>
          <w:b/>
          <w:bCs/>
          <w:sz w:val="24"/>
          <w:szCs w:val="24"/>
        </w:rPr>
        <w:t>8</w:t>
      </w:r>
      <w:r>
        <w:rPr>
          <w:sz w:val="24"/>
          <w:szCs w:val="24"/>
        </w:rPr>
        <w:t xml:space="preserve"> 体育建筑室内的采光照度值和采光时数</w:t>
      </w:r>
      <w:r>
        <w:rPr>
          <w:rFonts w:hint="eastAsia"/>
          <w:sz w:val="24"/>
          <w:szCs w:val="24"/>
        </w:rPr>
        <w:t>不应</w:t>
      </w:r>
      <w:r>
        <w:rPr>
          <w:sz w:val="24"/>
          <w:szCs w:val="24"/>
        </w:rPr>
        <w:t>低于表4.1.5-8的规定</w:t>
      </w:r>
      <w:bookmarkEnd w:id="114"/>
      <w:r>
        <w:rPr>
          <w:sz w:val="24"/>
          <w:szCs w:val="24"/>
        </w:rPr>
        <w:t>。</w:t>
      </w:r>
    </w:p>
    <w:p w14:paraId="6E8B358F">
      <w:pPr>
        <w:spacing w:before="120" w:after="120" w:line="312" w:lineRule="auto"/>
        <w:jc w:val="center"/>
        <w:rPr>
          <w:rFonts w:hint="eastAsia" w:ascii="黑体" w:hAnsi="黑体" w:eastAsia="黑体" w:cs="黑体"/>
          <w:sz w:val="24"/>
          <w:szCs w:val="24"/>
        </w:rPr>
      </w:pPr>
      <w:r>
        <w:rPr>
          <w:rFonts w:hint="eastAsia" w:ascii="黑体" w:hAnsi="黑体" w:eastAsia="黑体" w:cs="黑体"/>
          <w:sz w:val="24"/>
          <w:szCs w:val="24"/>
        </w:rPr>
        <w:t>表4.2.5-8体育建筑室内的采光标准值</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4"/>
        <w:gridCol w:w="2004"/>
        <w:gridCol w:w="1318"/>
      </w:tblGrid>
      <w:tr w14:paraId="6A03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14" w:type="dxa"/>
            <w:vAlign w:val="center"/>
          </w:tcPr>
          <w:p w14:paraId="6D92AB7A">
            <w:pPr>
              <w:jc w:val="center"/>
              <w:rPr>
                <w:szCs w:val="21"/>
              </w:rPr>
            </w:pPr>
            <w:r>
              <w:rPr>
                <w:szCs w:val="21"/>
              </w:rPr>
              <w:t>空间类型</w:t>
            </w:r>
          </w:p>
        </w:tc>
        <w:tc>
          <w:tcPr>
            <w:tcW w:w="2004" w:type="dxa"/>
            <w:vAlign w:val="center"/>
          </w:tcPr>
          <w:p w14:paraId="2EC96354">
            <w:pPr>
              <w:jc w:val="center"/>
              <w:rPr>
                <w:szCs w:val="21"/>
              </w:rPr>
            </w:pPr>
            <w:r>
              <w:rPr>
                <w:szCs w:val="21"/>
              </w:rPr>
              <w:t>室内天然光</w:t>
            </w:r>
          </w:p>
          <w:p w14:paraId="7EF458AA">
            <w:pPr>
              <w:jc w:val="center"/>
              <w:rPr>
                <w:szCs w:val="21"/>
              </w:rPr>
            </w:pPr>
            <w:r>
              <w:rPr>
                <w:szCs w:val="21"/>
              </w:rPr>
              <w:t>照度值（lx）</w:t>
            </w:r>
          </w:p>
        </w:tc>
        <w:tc>
          <w:tcPr>
            <w:tcW w:w="1318" w:type="dxa"/>
            <w:vAlign w:val="center"/>
          </w:tcPr>
          <w:p w14:paraId="7EFA7913">
            <w:pPr>
              <w:jc w:val="center"/>
              <w:rPr>
                <w:szCs w:val="21"/>
              </w:rPr>
            </w:pPr>
            <w:r>
              <w:rPr>
                <w:szCs w:val="21"/>
              </w:rPr>
              <w:t>采光时数</w:t>
            </w:r>
          </w:p>
        </w:tc>
      </w:tr>
      <w:tr w14:paraId="309C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714" w:type="dxa"/>
            <w:vAlign w:val="center"/>
          </w:tcPr>
          <w:p w14:paraId="2F4BB074">
            <w:pPr>
              <w:jc w:val="center"/>
              <w:rPr>
                <w:szCs w:val="21"/>
              </w:rPr>
            </w:pPr>
            <w:r>
              <w:rPr>
                <w:szCs w:val="21"/>
              </w:rPr>
              <w:t>运动场地</w:t>
            </w:r>
          </w:p>
        </w:tc>
        <w:tc>
          <w:tcPr>
            <w:tcW w:w="2004" w:type="dxa"/>
            <w:vAlign w:val="center"/>
          </w:tcPr>
          <w:p w14:paraId="05BD1C53">
            <w:pPr>
              <w:jc w:val="center"/>
              <w:rPr>
                <w:szCs w:val="21"/>
              </w:rPr>
            </w:pPr>
            <w:r>
              <w:rPr>
                <w:szCs w:val="21"/>
              </w:rPr>
              <w:t>400</w:t>
            </w:r>
          </w:p>
        </w:tc>
        <w:tc>
          <w:tcPr>
            <w:tcW w:w="1318" w:type="dxa"/>
            <w:vAlign w:val="center"/>
          </w:tcPr>
          <w:p w14:paraId="42F448E2">
            <w:pPr>
              <w:jc w:val="center"/>
              <w:rPr>
                <w:szCs w:val="21"/>
              </w:rPr>
            </w:pPr>
            <w:r>
              <w:rPr>
                <w:szCs w:val="21"/>
              </w:rPr>
              <w:t>8h/d</w:t>
            </w:r>
          </w:p>
        </w:tc>
      </w:tr>
      <w:tr w14:paraId="507E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jc w:val="center"/>
        </w:trPr>
        <w:tc>
          <w:tcPr>
            <w:tcW w:w="3714" w:type="dxa"/>
            <w:vAlign w:val="center"/>
          </w:tcPr>
          <w:p w14:paraId="0FCEB521">
            <w:pPr>
              <w:jc w:val="center"/>
              <w:rPr>
                <w:szCs w:val="21"/>
              </w:rPr>
            </w:pPr>
            <w:r>
              <w:rPr>
                <w:szCs w:val="21"/>
              </w:rPr>
              <w:t>入口大厅、休息厅、运动员休息室、治疗室、贵宾室、裁判用房</w:t>
            </w:r>
          </w:p>
        </w:tc>
        <w:tc>
          <w:tcPr>
            <w:tcW w:w="2004" w:type="dxa"/>
            <w:vAlign w:val="center"/>
          </w:tcPr>
          <w:p w14:paraId="08075F80">
            <w:pPr>
              <w:jc w:val="center"/>
              <w:rPr>
                <w:szCs w:val="21"/>
              </w:rPr>
            </w:pPr>
            <w:r>
              <w:rPr>
                <w:szCs w:val="21"/>
              </w:rPr>
              <w:t>300</w:t>
            </w:r>
          </w:p>
        </w:tc>
        <w:tc>
          <w:tcPr>
            <w:tcW w:w="1318" w:type="dxa"/>
            <w:vAlign w:val="center"/>
          </w:tcPr>
          <w:p w14:paraId="1DE760EF">
            <w:pPr>
              <w:jc w:val="center"/>
              <w:rPr>
                <w:szCs w:val="21"/>
              </w:rPr>
            </w:pPr>
            <w:r>
              <w:rPr>
                <w:szCs w:val="21"/>
              </w:rPr>
              <w:t>7h/d</w:t>
            </w:r>
          </w:p>
        </w:tc>
      </w:tr>
    </w:tbl>
    <w:p w14:paraId="1BBB1112">
      <w:pPr>
        <w:spacing w:before="120" w:after="120" w:line="312" w:lineRule="auto"/>
        <w:ind w:firstLine="480" w:firstLineChars="200"/>
        <w:rPr>
          <w:sz w:val="24"/>
          <w:szCs w:val="24"/>
        </w:rPr>
      </w:pPr>
    </w:p>
    <w:p w14:paraId="728A9988">
      <w:pPr>
        <w:spacing w:before="120" w:after="120" w:line="312" w:lineRule="auto"/>
        <w:rPr>
          <w:sz w:val="24"/>
          <w:szCs w:val="24"/>
        </w:rPr>
      </w:pPr>
      <w:r>
        <w:rPr>
          <w:b/>
          <w:bCs/>
          <w:sz w:val="24"/>
          <w:szCs w:val="24"/>
        </w:rPr>
        <w:t>4.2.6</w:t>
      </w:r>
      <w:r>
        <w:rPr>
          <w:sz w:val="24"/>
          <w:szCs w:val="24"/>
        </w:rPr>
        <w:t xml:space="preserve"> 建筑室内照明应符合现行国家标准《建筑环境通用规范》GB 55016和《建筑照明设计标准》GB/T 50034的相关要求，并</w:t>
      </w:r>
      <w:r>
        <w:rPr>
          <w:rFonts w:hint="eastAsia"/>
          <w:sz w:val="24"/>
          <w:szCs w:val="24"/>
        </w:rPr>
        <w:t>应符合下列</w:t>
      </w:r>
      <w:r>
        <w:rPr>
          <w:sz w:val="24"/>
          <w:szCs w:val="24"/>
        </w:rPr>
        <w:t>规定：</w:t>
      </w:r>
    </w:p>
    <w:p w14:paraId="4A30E6E0">
      <w:pPr>
        <w:spacing w:before="120" w:after="120" w:line="312" w:lineRule="auto"/>
        <w:rPr>
          <w:sz w:val="24"/>
          <w:szCs w:val="24"/>
        </w:rPr>
      </w:pPr>
      <w:r>
        <w:rPr>
          <w:sz w:val="24"/>
          <w:szCs w:val="24"/>
        </w:rPr>
        <w:t xml:space="preserve">    </w:t>
      </w:r>
      <w:r>
        <w:rPr>
          <w:b/>
          <w:bCs/>
          <w:sz w:val="24"/>
          <w:szCs w:val="24"/>
        </w:rPr>
        <w:t xml:space="preserve">1  </w:t>
      </w:r>
      <w:r>
        <w:rPr>
          <w:sz w:val="24"/>
          <w:szCs w:val="24"/>
        </w:rPr>
        <w:t>照度、均匀度、炫光限制、光源颜色等应满足室内功能照明需求，艺术照明应满足特定功能场景的营造要求。阅览室、教室、办公室、书房等场所的桌面照度不宜超过650lx。</w:t>
      </w:r>
    </w:p>
    <w:p w14:paraId="5115EB94">
      <w:pPr>
        <w:spacing w:before="120" w:after="120" w:line="312" w:lineRule="auto"/>
        <w:rPr>
          <w:sz w:val="24"/>
          <w:szCs w:val="24"/>
        </w:rPr>
      </w:pPr>
      <w:r>
        <w:rPr>
          <w:sz w:val="24"/>
          <w:szCs w:val="24"/>
        </w:rPr>
        <w:t xml:space="preserve">    </w:t>
      </w:r>
      <w:r>
        <w:rPr>
          <w:b/>
          <w:bCs/>
          <w:sz w:val="24"/>
          <w:szCs w:val="24"/>
        </w:rPr>
        <w:t xml:space="preserve">2 </w:t>
      </w:r>
      <w:r>
        <w:rPr>
          <w:sz w:val="24"/>
          <w:szCs w:val="24"/>
        </w:rPr>
        <w:t>视觉显示终端具有良好的亮度分布，中小学校多媒体产品显示技术应符合现行国家标准《儿童青少年学习用品近视防控卫生要求》 GB 40070的相关规定；</w:t>
      </w:r>
    </w:p>
    <w:p w14:paraId="50FB5C30">
      <w:pPr>
        <w:autoSpaceDE w:val="0"/>
        <w:autoSpaceDN w:val="0"/>
        <w:adjustRightInd w:val="0"/>
        <w:spacing w:before="120" w:after="120" w:line="312" w:lineRule="auto"/>
        <w:ind w:firstLine="482" w:firstLineChars="200"/>
        <w:jc w:val="left"/>
        <w:rPr>
          <w:kern w:val="0"/>
          <w:sz w:val="24"/>
          <w:szCs w:val="24"/>
        </w:rPr>
      </w:pPr>
      <w:r>
        <w:rPr>
          <w:b/>
          <w:bCs/>
          <w:kern w:val="0"/>
          <w:sz w:val="24"/>
          <w:szCs w:val="24"/>
        </w:rPr>
        <w:t xml:space="preserve">3 </w:t>
      </w:r>
      <w:r>
        <w:rPr>
          <w:kern w:val="0"/>
          <w:sz w:val="24"/>
          <w:szCs w:val="24"/>
        </w:rPr>
        <w:t>夜间长时间工作或停留场所的照明相关色温不应高于4000K；卧室照明相关色温不应高于3000K；</w:t>
      </w:r>
    </w:p>
    <w:p w14:paraId="560C8BF5">
      <w:pPr>
        <w:autoSpaceDE w:val="0"/>
        <w:autoSpaceDN w:val="0"/>
        <w:adjustRightInd w:val="0"/>
        <w:spacing w:before="120" w:after="120" w:line="312" w:lineRule="auto"/>
        <w:ind w:firstLine="482" w:firstLineChars="200"/>
        <w:jc w:val="left"/>
        <w:rPr>
          <w:kern w:val="0"/>
          <w:sz w:val="24"/>
          <w:szCs w:val="24"/>
        </w:rPr>
      </w:pPr>
      <w:r>
        <w:rPr>
          <w:b/>
          <w:bCs/>
          <w:kern w:val="0"/>
          <w:sz w:val="24"/>
          <w:szCs w:val="24"/>
        </w:rPr>
        <w:t xml:space="preserve">4 </w:t>
      </w:r>
      <w:r>
        <w:rPr>
          <w:kern w:val="0"/>
          <w:sz w:val="24"/>
          <w:szCs w:val="24"/>
        </w:rPr>
        <w:t>室内照明一般显色指数（R</w:t>
      </w:r>
      <w:r>
        <w:rPr>
          <w:kern w:val="0"/>
          <w:sz w:val="24"/>
          <w:szCs w:val="24"/>
          <w:vertAlign w:val="subscript"/>
        </w:rPr>
        <w:t>a</w:t>
      </w:r>
      <w:r>
        <w:rPr>
          <w:kern w:val="0"/>
          <w:sz w:val="24"/>
          <w:szCs w:val="24"/>
        </w:rPr>
        <w:t>）不应低于80，特殊显色指数（R</w:t>
      </w:r>
      <w:r>
        <w:rPr>
          <w:kern w:val="0"/>
          <w:sz w:val="24"/>
          <w:szCs w:val="24"/>
          <w:vertAlign w:val="subscript"/>
        </w:rPr>
        <w:t>9</w:t>
      </w:r>
      <w:r>
        <w:rPr>
          <w:kern w:val="0"/>
          <w:sz w:val="24"/>
          <w:szCs w:val="24"/>
        </w:rPr>
        <w:t>）不应小于0，同类产品的色容差不应大于5SDCM；室外照明一般显色指数（R</w:t>
      </w:r>
      <w:r>
        <w:rPr>
          <w:kern w:val="0"/>
          <w:sz w:val="24"/>
          <w:szCs w:val="24"/>
          <w:vertAlign w:val="subscript"/>
        </w:rPr>
        <w:t>a</w:t>
      </w:r>
      <w:r>
        <w:rPr>
          <w:kern w:val="0"/>
          <w:sz w:val="24"/>
          <w:szCs w:val="24"/>
        </w:rPr>
        <w:t>）不应低于60，同类产品的色容差不应大于7SDCM；</w:t>
      </w:r>
    </w:p>
    <w:p w14:paraId="3A620CC6">
      <w:pPr>
        <w:autoSpaceDE w:val="0"/>
        <w:autoSpaceDN w:val="0"/>
        <w:adjustRightInd w:val="0"/>
        <w:spacing w:before="120" w:after="120" w:line="312" w:lineRule="auto"/>
        <w:ind w:firstLine="482" w:firstLineChars="200"/>
        <w:jc w:val="left"/>
        <w:rPr>
          <w:kern w:val="0"/>
          <w:sz w:val="24"/>
          <w:szCs w:val="24"/>
        </w:rPr>
      </w:pPr>
      <w:r>
        <w:rPr>
          <w:b/>
          <w:bCs/>
          <w:kern w:val="0"/>
          <w:sz w:val="24"/>
          <w:szCs w:val="24"/>
        </w:rPr>
        <w:t xml:space="preserve">5 </w:t>
      </w:r>
      <w:r>
        <w:rPr>
          <w:kern w:val="0"/>
          <w:sz w:val="24"/>
          <w:szCs w:val="24"/>
        </w:rPr>
        <w:t>室内人员长时间停留的场所，其照明系统的光生物安全性应符合现行国家标准《灯和灯系统的光生物安全性》GB/T 20145 中无危险类（RG0）的要求；</w:t>
      </w:r>
    </w:p>
    <w:p w14:paraId="5E90C871">
      <w:pPr>
        <w:autoSpaceDE w:val="0"/>
        <w:autoSpaceDN w:val="0"/>
        <w:adjustRightInd w:val="0"/>
        <w:spacing w:before="120" w:after="120" w:line="312" w:lineRule="auto"/>
        <w:ind w:firstLine="482" w:firstLineChars="200"/>
        <w:jc w:val="left"/>
        <w:rPr>
          <w:kern w:val="0"/>
          <w:sz w:val="24"/>
          <w:szCs w:val="24"/>
        </w:rPr>
      </w:pPr>
      <w:r>
        <w:rPr>
          <w:b/>
          <w:bCs/>
          <w:kern w:val="0"/>
          <w:sz w:val="24"/>
          <w:szCs w:val="24"/>
        </w:rPr>
        <w:t xml:space="preserve">6 </w:t>
      </w:r>
      <w:r>
        <w:rPr>
          <w:kern w:val="0"/>
          <w:sz w:val="24"/>
          <w:szCs w:val="24"/>
        </w:rPr>
        <w:t>各场所采用照明产品的闪变指数（P</w:t>
      </w:r>
      <w:r>
        <w:rPr>
          <w:kern w:val="0"/>
          <w:sz w:val="24"/>
          <w:szCs w:val="24"/>
          <w:vertAlign w:val="subscript"/>
        </w:rPr>
        <w:t>st</w:t>
      </w:r>
      <w:r>
        <w:rPr>
          <w:kern w:val="0"/>
          <w:sz w:val="24"/>
          <w:szCs w:val="24"/>
          <w:vertAlign w:val="superscript"/>
        </w:rPr>
        <w:t>LM</w:t>
      </w:r>
      <w:r>
        <w:rPr>
          <w:kern w:val="0"/>
          <w:sz w:val="24"/>
          <w:szCs w:val="24"/>
        </w:rPr>
        <w:t>）不应大于1，人员长时间停留场所采用照明产品的频闪效应可视度（</w:t>
      </w:r>
      <w:r>
        <w:rPr>
          <w:i/>
          <w:iCs/>
          <w:kern w:val="0"/>
          <w:sz w:val="24"/>
          <w:szCs w:val="24"/>
        </w:rPr>
        <w:t>SVM</w:t>
      </w:r>
      <w:r>
        <w:rPr>
          <w:kern w:val="0"/>
          <w:sz w:val="24"/>
          <w:szCs w:val="24"/>
        </w:rPr>
        <w:t>）不应大于1.3；儿童及青少年长时间学习或活动的场所选用光源和灯具的频闪效应可视度（SVM）不应大于1.0。</w:t>
      </w:r>
    </w:p>
    <w:p w14:paraId="73667FF3">
      <w:pPr>
        <w:spacing w:before="120" w:after="120" w:line="312" w:lineRule="auto"/>
        <w:ind w:firstLine="482" w:firstLineChars="200"/>
      </w:pPr>
      <w:r>
        <w:rPr>
          <w:b/>
          <w:bCs/>
          <w:kern w:val="0"/>
          <w:sz w:val="24"/>
          <w:szCs w:val="24"/>
        </w:rPr>
        <w:t xml:space="preserve">7 </w:t>
      </w:r>
      <w:r>
        <w:rPr>
          <w:kern w:val="0"/>
          <w:sz w:val="24"/>
          <w:szCs w:val="24"/>
        </w:rPr>
        <w:t xml:space="preserve">窗口的室外照明干扰限值应符合现行行业标准《城市夜景照明设计规范》JGJ/T 163的规定。 </w:t>
      </w:r>
    </w:p>
    <w:p w14:paraId="74AF98CC">
      <w:pPr>
        <w:spacing w:before="120" w:after="120" w:line="312" w:lineRule="auto"/>
        <w:ind w:firstLine="480" w:firstLineChars="200"/>
        <w:rPr>
          <w:sz w:val="24"/>
          <w:szCs w:val="24"/>
        </w:rPr>
      </w:pPr>
    </w:p>
    <w:p w14:paraId="0F85D302">
      <w:pPr>
        <w:spacing w:before="120" w:after="120" w:line="312" w:lineRule="auto"/>
        <w:ind w:firstLine="482" w:firstLineChars="200"/>
        <w:jc w:val="center"/>
        <w:rPr>
          <w:b/>
          <w:bCs/>
          <w:sz w:val="24"/>
          <w:szCs w:val="24"/>
        </w:rPr>
      </w:pPr>
      <w:bookmarkStart w:id="115" w:name="_Toc8940"/>
      <w:bookmarkStart w:id="116" w:name="_Toc201158888"/>
      <w:r>
        <w:rPr>
          <w:b/>
          <w:bCs/>
          <w:sz w:val="24"/>
          <w:szCs w:val="24"/>
        </w:rPr>
        <w:t>Ⅳ 电磁环境</w:t>
      </w:r>
      <w:bookmarkEnd w:id="115"/>
      <w:bookmarkEnd w:id="116"/>
    </w:p>
    <w:p w14:paraId="1BFCA1CF">
      <w:pPr>
        <w:spacing w:before="120" w:after="120" w:line="312" w:lineRule="auto"/>
        <w:rPr>
          <w:sz w:val="24"/>
          <w:szCs w:val="22"/>
        </w:rPr>
      </w:pPr>
      <w:r>
        <w:rPr>
          <w:b/>
          <w:bCs/>
          <w:sz w:val="24"/>
          <w:szCs w:val="22"/>
        </w:rPr>
        <w:t>4.2.7</w:t>
      </w:r>
      <w:r>
        <w:rPr>
          <w:sz w:val="24"/>
          <w:szCs w:val="22"/>
        </w:rPr>
        <w:t xml:space="preserve"> 建筑室内电磁环境指标</w:t>
      </w:r>
      <w:r>
        <w:rPr>
          <w:rFonts w:hint="eastAsia"/>
          <w:sz w:val="24"/>
          <w:szCs w:val="22"/>
        </w:rPr>
        <w:t>不应</w:t>
      </w:r>
      <w:r>
        <w:rPr>
          <w:sz w:val="24"/>
          <w:szCs w:val="22"/>
        </w:rPr>
        <w:t>超过现行国家标准《电磁环境控制限值》GB 8702规定的75%。</w:t>
      </w:r>
    </w:p>
    <w:p w14:paraId="47F72AAF">
      <w:pPr>
        <w:spacing w:before="120" w:after="120" w:line="312" w:lineRule="auto"/>
        <w:ind w:firstLine="480" w:firstLineChars="200"/>
        <w:rPr>
          <w:sz w:val="24"/>
          <w:szCs w:val="24"/>
        </w:rPr>
      </w:pPr>
    </w:p>
    <w:p w14:paraId="702D56E9">
      <w:pPr>
        <w:spacing w:before="120" w:after="120" w:line="312" w:lineRule="auto"/>
        <w:ind w:firstLine="482" w:firstLineChars="200"/>
        <w:jc w:val="center"/>
        <w:rPr>
          <w:b/>
          <w:bCs/>
          <w:sz w:val="24"/>
          <w:szCs w:val="24"/>
        </w:rPr>
      </w:pPr>
      <w:bookmarkStart w:id="117" w:name="_Toc201158889"/>
      <w:bookmarkStart w:id="118" w:name="_Toc32461"/>
      <w:r>
        <w:rPr>
          <w:b/>
          <w:bCs/>
          <w:sz w:val="24"/>
          <w:szCs w:val="24"/>
        </w:rPr>
        <w:t>Ⅴ 放射线环境</w:t>
      </w:r>
      <w:bookmarkEnd w:id="117"/>
      <w:bookmarkEnd w:id="118"/>
    </w:p>
    <w:p w14:paraId="166C1299">
      <w:pPr>
        <w:spacing w:before="120" w:after="120" w:line="312" w:lineRule="auto"/>
        <w:rPr>
          <w:b/>
          <w:bCs/>
          <w:sz w:val="24"/>
          <w:szCs w:val="24"/>
        </w:rPr>
      </w:pPr>
      <w:r>
        <w:rPr>
          <w:b/>
          <w:bCs/>
          <w:sz w:val="24"/>
          <w:szCs w:val="24"/>
        </w:rPr>
        <w:t>4.2.8</w:t>
      </w:r>
      <w:r>
        <w:rPr>
          <w:sz w:val="24"/>
          <w:szCs w:val="24"/>
        </w:rPr>
        <w:t xml:space="preserve"> 土壤氡应</w:t>
      </w:r>
      <w:r>
        <w:rPr>
          <w:kern w:val="0"/>
          <w:sz w:val="24"/>
          <w:szCs w:val="24"/>
        </w:rPr>
        <w:t>符合现行</w:t>
      </w:r>
      <w:r>
        <w:rPr>
          <w:sz w:val="24"/>
          <w:szCs w:val="24"/>
        </w:rPr>
        <w:t>国家标准《建筑环境通用规范》GB 55016和《民用建筑工程室内环境污染控制标准》GB50325的规定。</w:t>
      </w:r>
    </w:p>
    <w:p w14:paraId="4B122510">
      <w:pPr>
        <w:spacing w:before="120" w:after="120" w:line="312" w:lineRule="auto"/>
        <w:jc w:val="left"/>
        <w:rPr>
          <w:sz w:val="24"/>
          <w:szCs w:val="24"/>
        </w:rPr>
      </w:pPr>
      <w:r>
        <w:rPr>
          <w:b/>
          <w:bCs/>
          <w:sz w:val="24"/>
          <w:szCs w:val="24"/>
        </w:rPr>
        <w:t>4.2.9</w:t>
      </w:r>
      <w:r>
        <w:rPr>
          <w:sz w:val="24"/>
          <w:szCs w:val="24"/>
        </w:rPr>
        <w:t xml:space="preserve"> 建筑材料的放射性核素或放射性物质应符合</w:t>
      </w:r>
      <w:r>
        <w:rPr>
          <w:kern w:val="0"/>
          <w:sz w:val="24"/>
          <w:szCs w:val="24"/>
        </w:rPr>
        <w:t>现行</w:t>
      </w:r>
      <w:r>
        <w:rPr>
          <w:sz w:val="24"/>
          <w:szCs w:val="24"/>
        </w:rPr>
        <w:t>国家标准《建筑环境通用规范》GB 55016、《建筑材料放射性核素限量》GB6566和《建筑材料用工业废渣放射性物质限制标准》GB6763的规定。</w:t>
      </w:r>
    </w:p>
    <w:p w14:paraId="1224BA78">
      <w:pPr>
        <w:spacing w:before="120" w:after="120" w:line="312" w:lineRule="auto"/>
        <w:ind w:firstLine="480" w:firstLineChars="200"/>
        <w:rPr>
          <w:sz w:val="24"/>
          <w:szCs w:val="24"/>
        </w:rPr>
      </w:pPr>
    </w:p>
    <w:p w14:paraId="26125766">
      <w:pPr>
        <w:spacing w:before="120" w:after="120" w:line="312" w:lineRule="auto"/>
        <w:ind w:firstLine="480" w:firstLineChars="200"/>
        <w:rPr>
          <w:sz w:val="24"/>
          <w:szCs w:val="24"/>
        </w:rPr>
      </w:pPr>
    </w:p>
    <w:p w14:paraId="28AFBAAC">
      <w:pPr>
        <w:spacing w:before="120" w:after="120" w:line="312" w:lineRule="auto"/>
        <w:ind w:firstLine="482" w:firstLineChars="200"/>
        <w:jc w:val="center"/>
        <w:outlineLvl w:val="1"/>
        <w:rPr>
          <w:b/>
          <w:bCs/>
          <w:sz w:val="24"/>
          <w:szCs w:val="24"/>
        </w:rPr>
      </w:pPr>
      <w:bookmarkStart w:id="119" w:name="_Toc25316"/>
      <w:bookmarkStart w:id="120" w:name="_Toc9152"/>
      <w:bookmarkStart w:id="121" w:name="_Toc16274"/>
      <w:bookmarkStart w:id="122" w:name="_Toc31704"/>
      <w:bookmarkStart w:id="123" w:name="_Toc1800"/>
      <w:bookmarkStart w:id="124" w:name="_Toc27676"/>
      <w:bookmarkStart w:id="125" w:name="_Toc2850"/>
      <w:bookmarkStart w:id="126" w:name="_Toc11207"/>
      <w:bookmarkStart w:id="127" w:name="_Toc22389"/>
      <w:bookmarkStart w:id="128" w:name="_Toc201158890"/>
      <w:bookmarkStart w:id="129" w:name="_Toc6964"/>
      <w:r>
        <w:rPr>
          <w:b/>
          <w:bCs/>
          <w:sz w:val="24"/>
          <w:szCs w:val="24"/>
        </w:rPr>
        <w:t>4.3 化学环境</w:t>
      </w:r>
      <w:bookmarkEnd w:id="119"/>
      <w:bookmarkEnd w:id="120"/>
      <w:bookmarkEnd w:id="121"/>
      <w:bookmarkEnd w:id="122"/>
      <w:bookmarkEnd w:id="123"/>
      <w:bookmarkEnd w:id="124"/>
      <w:bookmarkEnd w:id="125"/>
      <w:bookmarkEnd w:id="126"/>
      <w:bookmarkEnd w:id="127"/>
      <w:bookmarkEnd w:id="128"/>
      <w:bookmarkEnd w:id="129"/>
    </w:p>
    <w:p w14:paraId="7899316C">
      <w:pPr>
        <w:spacing w:before="120" w:after="120" w:line="312" w:lineRule="auto"/>
        <w:rPr>
          <w:sz w:val="24"/>
          <w:szCs w:val="24"/>
        </w:rPr>
      </w:pPr>
      <w:r>
        <w:rPr>
          <w:b/>
          <w:bCs/>
          <w:sz w:val="24"/>
          <w:szCs w:val="24"/>
        </w:rPr>
        <w:t>4.3.1</w:t>
      </w:r>
      <w:r>
        <w:rPr>
          <w:sz w:val="24"/>
          <w:szCs w:val="24"/>
        </w:rPr>
        <w:t xml:space="preserve"> 工程竣工验收时，其室内空气质量应比《建筑环境通用规范》GB 55016和《民用建筑工程室内环境污染控制标准》GB50325规定的有害物浓度低50%。运行期间建筑室内的氨、甲醛、苯、总挥发性有机物、氡等污染物浓度应比现行国家标准《室内空气质量标准》GB/T 18883规定限值降低</w:t>
      </w:r>
      <w:r>
        <w:rPr>
          <w:rFonts w:hint="eastAsia"/>
          <w:sz w:val="24"/>
          <w:szCs w:val="24"/>
        </w:rPr>
        <w:t>5</w:t>
      </w:r>
      <w:r>
        <w:rPr>
          <w:sz w:val="24"/>
          <w:szCs w:val="24"/>
        </w:rPr>
        <w:t>0%。</w:t>
      </w:r>
    </w:p>
    <w:p w14:paraId="1FE46082">
      <w:pPr>
        <w:spacing w:before="120" w:after="120" w:line="312" w:lineRule="auto"/>
        <w:rPr>
          <w:sz w:val="24"/>
          <w:szCs w:val="24"/>
        </w:rPr>
      </w:pPr>
      <w:r>
        <w:rPr>
          <w:b/>
          <w:bCs/>
          <w:sz w:val="24"/>
          <w:szCs w:val="24"/>
        </w:rPr>
        <w:t>4.3.2</w:t>
      </w:r>
      <w:r>
        <w:rPr>
          <w:sz w:val="24"/>
          <w:szCs w:val="24"/>
        </w:rPr>
        <w:t xml:space="preserve"> 室内空间应保持空气清新度，室内空间的CO、CO</w:t>
      </w:r>
      <w:r>
        <w:rPr>
          <w:sz w:val="24"/>
          <w:szCs w:val="24"/>
          <w:vertAlign w:val="subscript"/>
        </w:rPr>
        <w:t>2</w:t>
      </w:r>
      <w:r>
        <w:rPr>
          <w:sz w:val="24"/>
          <w:szCs w:val="24"/>
        </w:rPr>
        <w:t>浓度</w:t>
      </w:r>
      <w:r>
        <w:rPr>
          <w:rFonts w:hint="eastAsia"/>
          <w:sz w:val="24"/>
          <w:szCs w:val="24"/>
        </w:rPr>
        <w:t>应</w:t>
      </w:r>
      <w:r>
        <w:rPr>
          <w:sz w:val="24"/>
          <w:szCs w:val="24"/>
        </w:rPr>
        <w:t>比现行国家标准《室内空气质量标准》GB/T 18883规定限值降低20%。室内PM</w:t>
      </w:r>
      <w:r>
        <w:rPr>
          <w:sz w:val="24"/>
          <w:szCs w:val="24"/>
          <w:vertAlign w:val="subscript"/>
        </w:rPr>
        <w:t>2.5</w:t>
      </w:r>
      <w:r>
        <w:rPr>
          <w:sz w:val="24"/>
          <w:szCs w:val="24"/>
        </w:rPr>
        <w:t>年均浓度不高于20μg/m</w:t>
      </w:r>
      <w:r>
        <w:rPr>
          <w:sz w:val="24"/>
          <w:szCs w:val="24"/>
          <w:vertAlign w:val="superscript"/>
        </w:rPr>
        <w:t>3</w:t>
      </w:r>
      <w:r>
        <w:rPr>
          <w:sz w:val="24"/>
          <w:szCs w:val="24"/>
        </w:rPr>
        <w:t>，日均浓度不高于40μg/m</w:t>
      </w:r>
      <w:r>
        <w:rPr>
          <w:sz w:val="24"/>
          <w:szCs w:val="24"/>
          <w:vertAlign w:val="superscript"/>
        </w:rPr>
        <w:t>3</w:t>
      </w:r>
      <w:r>
        <w:rPr>
          <w:sz w:val="24"/>
          <w:szCs w:val="24"/>
        </w:rPr>
        <w:t>；室内PM</w:t>
      </w:r>
      <w:r>
        <w:rPr>
          <w:sz w:val="24"/>
          <w:szCs w:val="24"/>
          <w:vertAlign w:val="subscript"/>
        </w:rPr>
        <w:t>10</w:t>
      </w:r>
      <w:r>
        <w:rPr>
          <w:sz w:val="24"/>
          <w:szCs w:val="24"/>
        </w:rPr>
        <w:t>年均浓度不高于35μg/m</w:t>
      </w:r>
      <w:r>
        <w:rPr>
          <w:sz w:val="24"/>
          <w:szCs w:val="24"/>
          <w:vertAlign w:val="superscript"/>
        </w:rPr>
        <w:t>3</w:t>
      </w:r>
      <w:r>
        <w:rPr>
          <w:sz w:val="24"/>
          <w:szCs w:val="24"/>
        </w:rPr>
        <w:t>，日均浓度不高于80μg/m</w:t>
      </w:r>
      <w:r>
        <w:rPr>
          <w:sz w:val="24"/>
          <w:szCs w:val="24"/>
          <w:vertAlign w:val="superscript"/>
        </w:rPr>
        <w:t>3</w:t>
      </w:r>
      <w:r>
        <w:rPr>
          <w:sz w:val="24"/>
          <w:szCs w:val="24"/>
        </w:rPr>
        <w:t>。</w:t>
      </w:r>
    </w:p>
    <w:p w14:paraId="7A152F16">
      <w:pPr>
        <w:spacing w:before="120" w:after="120" w:line="312" w:lineRule="auto"/>
        <w:rPr>
          <w:sz w:val="24"/>
          <w:szCs w:val="24"/>
        </w:rPr>
      </w:pPr>
      <w:r>
        <w:rPr>
          <w:b/>
          <w:bCs/>
          <w:sz w:val="24"/>
          <w:szCs w:val="24"/>
        </w:rPr>
        <w:t>4.3.3</w:t>
      </w:r>
      <w:r>
        <w:rPr>
          <w:sz w:val="24"/>
          <w:szCs w:val="24"/>
        </w:rPr>
        <w:t xml:space="preserve"> 建筑内气味、颗粒物、臭氧、挥发性有害污染物、油烟、热湿等特殊散发源空间的污染物不应串通到其他空间。</w:t>
      </w:r>
    </w:p>
    <w:p w14:paraId="53AD9846">
      <w:pPr>
        <w:spacing w:before="120" w:after="120" w:line="312" w:lineRule="auto"/>
        <w:ind w:firstLine="420" w:firstLineChars="200"/>
      </w:pPr>
    </w:p>
    <w:p w14:paraId="45B7A72C">
      <w:pPr>
        <w:spacing w:before="120" w:after="120" w:line="312" w:lineRule="auto"/>
        <w:ind w:firstLine="482" w:firstLineChars="200"/>
        <w:jc w:val="center"/>
        <w:outlineLvl w:val="1"/>
        <w:rPr>
          <w:sz w:val="24"/>
          <w:szCs w:val="24"/>
        </w:rPr>
      </w:pPr>
      <w:bookmarkStart w:id="130" w:name="_Toc28119"/>
      <w:bookmarkStart w:id="131" w:name="_Toc11922"/>
      <w:bookmarkStart w:id="132" w:name="_Toc9929"/>
      <w:bookmarkStart w:id="133" w:name="_Toc22036"/>
      <w:bookmarkStart w:id="134" w:name="_Toc28761"/>
      <w:bookmarkStart w:id="135" w:name="_Toc31376"/>
      <w:bookmarkStart w:id="136" w:name="_Toc201158891"/>
      <w:bookmarkStart w:id="137" w:name="_Toc4432"/>
      <w:bookmarkStart w:id="138" w:name="_Toc21677"/>
      <w:bookmarkStart w:id="139" w:name="_Toc26007"/>
      <w:bookmarkStart w:id="140" w:name="_Toc7787"/>
      <w:r>
        <w:rPr>
          <w:b/>
          <w:bCs/>
          <w:sz w:val="24"/>
          <w:szCs w:val="24"/>
        </w:rPr>
        <w:t>4.4 生物环境</w:t>
      </w:r>
      <w:bookmarkEnd w:id="130"/>
      <w:bookmarkEnd w:id="131"/>
      <w:bookmarkEnd w:id="132"/>
      <w:bookmarkEnd w:id="133"/>
      <w:bookmarkEnd w:id="134"/>
      <w:bookmarkEnd w:id="135"/>
      <w:bookmarkEnd w:id="136"/>
      <w:bookmarkEnd w:id="137"/>
      <w:bookmarkEnd w:id="138"/>
      <w:bookmarkEnd w:id="139"/>
      <w:bookmarkEnd w:id="140"/>
    </w:p>
    <w:p w14:paraId="3195127C">
      <w:pPr>
        <w:spacing w:before="120" w:after="120" w:line="312" w:lineRule="auto"/>
        <w:rPr>
          <w:sz w:val="24"/>
          <w:szCs w:val="24"/>
        </w:rPr>
      </w:pPr>
      <w:r>
        <w:rPr>
          <w:b/>
          <w:bCs/>
          <w:sz w:val="24"/>
          <w:szCs w:val="24"/>
        </w:rPr>
        <w:t>4.4.1</w:t>
      </w:r>
      <w:r>
        <w:rPr>
          <w:sz w:val="24"/>
          <w:szCs w:val="24"/>
        </w:rPr>
        <w:t xml:space="preserve"> 室内</w:t>
      </w:r>
      <w:r>
        <w:rPr>
          <w:rFonts w:hint="eastAsia"/>
          <w:sz w:val="24"/>
          <w:szCs w:val="24"/>
        </w:rPr>
        <w:t>不应</w:t>
      </w:r>
      <w:r>
        <w:rPr>
          <w:sz w:val="24"/>
          <w:szCs w:val="24"/>
        </w:rPr>
        <w:t>出现发霉现象。室内应能够通过自然通风或机械送风独立从室外引入新鲜空气，且不得与其他空间的回风混合。</w:t>
      </w:r>
    </w:p>
    <w:p w14:paraId="08A7E0A2">
      <w:pPr>
        <w:spacing w:before="120" w:after="120" w:line="312" w:lineRule="auto"/>
        <w:rPr>
          <w:sz w:val="24"/>
          <w:szCs w:val="24"/>
        </w:rPr>
      </w:pPr>
      <w:r>
        <w:rPr>
          <w:b/>
          <w:bCs/>
          <w:sz w:val="24"/>
          <w:szCs w:val="24"/>
        </w:rPr>
        <w:t>4.4.2</w:t>
      </w:r>
      <w:r>
        <w:rPr>
          <w:sz w:val="24"/>
          <w:szCs w:val="24"/>
        </w:rPr>
        <w:t xml:space="preserve"> 室内应</w:t>
      </w:r>
      <w:r>
        <w:rPr>
          <w:rFonts w:hint="eastAsia"/>
          <w:sz w:val="24"/>
          <w:szCs w:val="24"/>
        </w:rPr>
        <w:t>能</w:t>
      </w:r>
      <w:r>
        <w:rPr>
          <w:sz w:val="24"/>
          <w:szCs w:val="24"/>
        </w:rPr>
        <w:t>防止老鼠、蚊子、蟑螂、蚂蚁、白蚁、飞虫等有害动物的滋生</w:t>
      </w:r>
      <w:r>
        <w:rPr>
          <w:rFonts w:hint="eastAsia"/>
          <w:sz w:val="24"/>
          <w:szCs w:val="24"/>
        </w:rPr>
        <w:t>和侵扰</w:t>
      </w:r>
      <w:r>
        <w:rPr>
          <w:sz w:val="24"/>
          <w:szCs w:val="24"/>
        </w:rPr>
        <w:t>。</w:t>
      </w:r>
    </w:p>
    <w:p w14:paraId="52D5A30A">
      <w:pPr>
        <w:spacing w:before="120" w:after="120" w:line="312" w:lineRule="auto"/>
        <w:rPr>
          <w:sz w:val="24"/>
          <w:szCs w:val="24"/>
        </w:rPr>
      </w:pPr>
      <w:r>
        <w:rPr>
          <w:b/>
          <w:bCs/>
          <w:sz w:val="24"/>
          <w:szCs w:val="24"/>
        </w:rPr>
        <w:t>4.4.3</w:t>
      </w:r>
      <w:r>
        <w:rPr>
          <w:sz w:val="24"/>
          <w:szCs w:val="24"/>
        </w:rPr>
        <w:t xml:space="preserve"> 室内植物</w:t>
      </w:r>
      <w:r>
        <w:rPr>
          <w:rFonts w:hint="eastAsia"/>
          <w:sz w:val="24"/>
          <w:szCs w:val="24"/>
        </w:rPr>
        <w:t>种类</w:t>
      </w:r>
      <w:r>
        <w:rPr>
          <w:sz w:val="24"/>
          <w:szCs w:val="24"/>
        </w:rPr>
        <w:t>应符合人体健康与安全</w:t>
      </w:r>
      <w:r>
        <w:rPr>
          <w:rFonts w:hint="eastAsia"/>
          <w:sz w:val="24"/>
          <w:szCs w:val="24"/>
        </w:rPr>
        <w:t>的</w:t>
      </w:r>
      <w:r>
        <w:rPr>
          <w:sz w:val="24"/>
          <w:szCs w:val="24"/>
        </w:rPr>
        <w:t>要求，不应对人体健康和安全造成不利影响。</w:t>
      </w:r>
    </w:p>
    <w:p w14:paraId="6F3DB389">
      <w:pPr>
        <w:spacing w:before="120" w:after="120" w:line="312" w:lineRule="auto"/>
        <w:rPr>
          <w:sz w:val="24"/>
          <w:szCs w:val="24"/>
        </w:rPr>
      </w:pPr>
      <w:r>
        <w:rPr>
          <w:b/>
          <w:bCs/>
          <w:sz w:val="24"/>
          <w:szCs w:val="24"/>
        </w:rPr>
        <w:t>4.4.4</w:t>
      </w:r>
      <w:r>
        <w:rPr>
          <w:sz w:val="24"/>
          <w:szCs w:val="24"/>
        </w:rPr>
        <w:t xml:space="preserve"> 集中空调通风系统冷却水、冷凝水、喷雾、冷水蒸发加湿方式用水和集中空调通风系统送风不应检出嗜肺军团菌。冷却水水质、集中空调通风系统送风质量和风管内表面卫生质量应满足现行《公共场所集中空调通风系统卫生规范》WS 10013等标准要求。</w:t>
      </w:r>
    </w:p>
    <w:p w14:paraId="4A29D4ED">
      <w:pPr>
        <w:spacing w:line="312" w:lineRule="auto"/>
        <w:ind w:firstLine="480" w:firstLineChars="200"/>
        <w:rPr>
          <w:rFonts w:eastAsia="仿宋_GB2312"/>
          <w:color w:val="4F81BD" w:themeColor="accent1"/>
          <w:sz w:val="24"/>
          <w:szCs w:val="24"/>
          <w:u w:val="single"/>
          <w14:textFill>
            <w14:solidFill>
              <w14:schemeClr w14:val="accent1"/>
            </w14:solidFill>
          </w14:textFill>
        </w:rPr>
        <w:sectPr>
          <w:pgSz w:w="11906" w:h="16838"/>
          <w:pgMar w:top="1440" w:right="1800" w:bottom="1440" w:left="1800" w:header="851" w:footer="992" w:gutter="0"/>
          <w:cols w:space="425" w:num="1"/>
          <w:docGrid w:type="lines" w:linePitch="312" w:charSpace="0"/>
        </w:sectPr>
      </w:pPr>
    </w:p>
    <w:p w14:paraId="41DA5C51">
      <w:pPr>
        <w:spacing w:before="120" w:after="120" w:line="312" w:lineRule="auto"/>
        <w:jc w:val="center"/>
        <w:outlineLvl w:val="1"/>
        <w:rPr>
          <w:b/>
          <w:bCs/>
          <w:sz w:val="24"/>
          <w:szCs w:val="24"/>
        </w:rPr>
      </w:pPr>
      <w:bookmarkStart w:id="141" w:name="_Toc9248"/>
      <w:bookmarkStart w:id="142" w:name="_Toc201158892"/>
      <w:bookmarkStart w:id="143" w:name="_Toc29638"/>
      <w:bookmarkStart w:id="144" w:name="_Toc22458"/>
      <w:bookmarkStart w:id="145" w:name="_Toc19415"/>
      <w:bookmarkStart w:id="146" w:name="_Toc25828"/>
      <w:bookmarkStart w:id="147" w:name="_Toc20461"/>
      <w:bookmarkStart w:id="148" w:name="_Toc10137"/>
      <w:bookmarkStart w:id="149" w:name="_Toc29615"/>
      <w:bookmarkStart w:id="150" w:name="_Toc15039"/>
      <w:bookmarkStart w:id="151" w:name="_Toc3095"/>
      <w:r>
        <w:rPr>
          <w:b/>
          <w:bCs/>
          <w:sz w:val="24"/>
          <w:szCs w:val="24"/>
        </w:rPr>
        <w:t>4.5 精神环境</w:t>
      </w:r>
      <w:bookmarkEnd w:id="141"/>
      <w:bookmarkEnd w:id="142"/>
      <w:bookmarkEnd w:id="143"/>
      <w:bookmarkEnd w:id="144"/>
      <w:bookmarkEnd w:id="145"/>
      <w:bookmarkEnd w:id="146"/>
      <w:bookmarkEnd w:id="147"/>
      <w:bookmarkEnd w:id="148"/>
      <w:bookmarkEnd w:id="149"/>
      <w:bookmarkEnd w:id="150"/>
      <w:bookmarkEnd w:id="151"/>
    </w:p>
    <w:p w14:paraId="38089C83">
      <w:pPr>
        <w:spacing w:before="120" w:after="120" w:line="312" w:lineRule="auto"/>
        <w:rPr>
          <w:b/>
          <w:bCs/>
          <w:sz w:val="24"/>
          <w:szCs w:val="24"/>
        </w:rPr>
      </w:pPr>
    </w:p>
    <w:p w14:paraId="3D69263B">
      <w:pPr>
        <w:spacing w:before="120" w:after="120" w:line="312" w:lineRule="auto"/>
        <w:jc w:val="center"/>
        <w:rPr>
          <w:b/>
          <w:bCs/>
          <w:sz w:val="24"/>
          <w:szCs w:val="24"/>
        </w:rPr>
      </w:pPr>
      <w:bookmarkStart w:id="152" w:name="_Toc164097253"/>
      <w:bookmarkStart w:id="153" w:name="_Toc15420"/>
      <w:bookmarkStart w:id="154" w:name="_Toc201158893"/>
      <w:r>
        <w:rPr>
          <w:b/>
          <w:bCs/>
          <w:sz w:val="24"/>
          <w:szCs w:val="24"/>
        </w:rPr>
        <w:t>Ⅰ 情感环境</w:t>
      </w:r>
      <w:bookmarkEnd w:id="152"/>
      <w:bookmarkEnd w:id="153"/>
      <w:bookmarkEnd w:id="154"/>
    </w:p>
    <w:p w14:paraId="05EC7AB5">
      <w:pPr>
        <w:widowControl/>
        <w:spacing w:before="120" w:after="120" w:line="312" w:lineRule="auto"/>
        <w:rPr>
          <w:sz w:val="24"/>
          <w:szCs w:val="24"/>
        </w:rPr>
      </w:pPr>
      <w:bookmarkStart w:id="155" w:name="_Hlk162515648"/>
      <w:r>
        <w:rPr>
          <w:b/>
          <w:bCs/>
          <w:sz w:val="24"/>
          <w:szCs w:val="24"/>
        </w:rPr>
        <w:t>4.5.1</w:t>
      </w:r>
      <w:r>
        <w:rPr>
          <w:sz w:val="24"/>
          <w:szCs w:val="24"/>
        </w:rPr>
        <w:t xml:space="preserve"> 建筑室内空间设计应具有适宜的空间尺度、比例关系和形态特征，人行流线</w:t>
      </w:r>
      <w:r>
        <w:rPr>
          <w:rFonts w:hint="eastAsia"/>
          <w:sz w:val="24"/>
          <w:szCs w:val="24"/>
        </w:rPr>
        <w:t>应合理</w:t>
      </w:r>
      <w:r>
        <w:rPr>
          <w:sz w:val="24"/>
          <w:szCs w:val="24"/>
        </w:rPr>
        <w:t>，空间导向</w:t>
      </w:r>
      <w:r>
        <w:rPr>
          <w:rFonts w:hint="eastAsia"/>
          <w:sz w:val="24"/>
          <w:szCs w:val="24"/>
        </w:rPr>
        <w:t>应</w:t>
      </w:r>
      <w:r>
        <w:rPr>
          <w:sz w:val="24"/>
          <w:szCs w:val="24"/>
        </w:rPr>
        <w:t>明确，具备方向感。</w:t>
      </w:r>
      <w:bookmarkEnd w:id="155"/>
    </w:p>
    <w:p w14:paraId="7A0D250F">
      <w:pPr>
        <w:widowControl/>
        <w:spacing w:before="120" w:after="120" w:line="312" w:lineRule="auto"/>
        <w:rPr>
          <w:sz w:val="24"/>
          <w:szCs w:val="24"/>
        </w:rPr>
      </w:pPr>
      <w:r>
        <w:rPr>
          <w:b/>
          <w:bCs/>
          <w:sz w:val="24"/>
          <w:szCs w:val="24"/>
        </w:rPr>
        <w:t>4.5.2</w:t>
      </w:r>
      <w:r>
        <w:rPr>
          <w:sz w:val="24"/>
          <w:szCs w:val="24"/>
        </w:rPr>
        <w:t xml:space="preserve"> 室内应营造安全舒适的环境氛围，不产生空间压迫感。</w:t>
      </w:r>
    </w:p>
    <w:p w14:paraId="3D5330A7">
      <w:pPr>
        <w:widowControl/>
        <w:spacing w:before="120" w:after="120" w:line="312" w:lineRule="auto"/>
        <w:rPr>
          <w:sz w:val="24"/>
          <w:szCs w:val="24"/>
        </w:rPr>
      </w:pPr>
      <w:r>
        <w:rPr>
          <w:b/>
          <w:bCs/>
          <w:sz w:val="24"/>
          <w:szCs w:val="24"/>
        </w:rPr>
        <w:t>4.5.3</w:t>
      </w:r>
      <w:r>
        <w:rPr>
          <w:sz w:val="24"/>
          <w:szCs w:val="24"/>
        </w:rPr>
        <w:t xml:space="preserve"> 室内空间美学应符合功能定位，艺术品配置及空间干预措施应满足使用要求。</w:t>
      </w:r>
    </w:p>
    <w:p w14:paraId="3439CF9E">
      <w:pPr>
        <w:widowControl/>
        <w:spacing w:line="288" w:lineRule="auto"/>
        <w:ind w:firstLine="480" w:firstLineChars="200"/>
        <w:rPr>
          <w:sz w:val="24"/>
          <w:szCs w:val="24"/>
        </w:rPr>
      </w:pPr>
    </w:p>
    <w:p w14:paraId="28DEA423">
      <w:pPr>
        <w:widowControl/>
        <w:spacing w:before="120" w:after="120" w:line="312" w:lineRule="auto"/>
        <w:rPr>
          <w:sz w:val="24"/>
          <w:szCs w:val="24"/>
        </w:rPr>
      </w:pPr>
      <w:r>
        <w:rPr>
          <w:b/>
          <w:bCs/>
          <w:sz w:val="24"/>
          <w:szCs w:val="24"/>
        </w:rPr>
        <w:t xml:space="preserve">4.5.4 </w:t>
      </w:r>
      <w:r>
        <w:rPr>
          <w:sz w:val="24"/>
          <w:szCs w:val="24"/>
        </w:rPr>
        <w:t>室内空间宜结合功能需求引入自然元素，室外景观和视野的关系</w:t>
      </w:r>
      <w:r>
        <w:rPr>
          <w:rFonts w:hint="eastAsia"/>
          <w:sz w:val="24"/>
          <w:szCs w:val="24"/>
        </w:rPr>
        <w:t>合理</w:t>
      </w:r>
      <w:r>
        <w:rPr>
          <w:sz w:val="24"/>
          <w:szCs w:val="24"/>
        </w:rPr>
        <w:t>。</w:t>
      </w:r>
    </w:p>
    <w:p w14:paraId="3A083738">
      <w:pPr>
        <w:spacing w:before="120" w:after="120" w:line="312" w:lineRule="auto"/>
        <w:jc w:val="center"/>
        <w:rPr>
          <w:b/>
          <w:bCs/>
          <w:sz w:val="24"/>
          <w:szCs w:val="24"/>
        </w:rPr>
      </w:pPr>
      <w:bookmarkStart w:id="156" w:name="_Toc505"/>
      <w:bookmarkStart w:id="157" w:name="_Toc164097254"/>
      <w:bookmarkStart w:id="158" w:name="_Toc201158894"/>
    </w:p>
    <w:p w14:paraId="683B385B">
      <w:pPr>
        <w:spacing w:before="120" w:after="120" w:line="312" w:lineRule="auto"/>
        <w:jc w:val="center"/>
        <w:rPr>
          <w:b/>
          <w:bCs/>
          <w:sz w:val="24"/>
          <w:szCs w:val="24"/>
        </w:rPr>
      </w:pPr>
      <w:r>
        <w:rPr>
          <w:b/>
          <w:bCs/>
          <w:sz w:val="24"/>
          <w:szCs w:val="24"/>
        </w:rPr>
        <w:t>Ⅱ 人文精神</w:t>
      </w:r>
      <w:bookmarkEnd w:id="156"/>
      <w:bookmarkEnd w:id="157"/>
      <w:bookmarkEnd w:id="158"/>
    </w:p>
    <w:p w14:paraId="42EDF32B">
      <w:pPr>
        <w:widowControl/>
        <w:spacing w:before="120" w:after="120" w:line="312" w:lineRule="auto"/>
        <w:rPr>
          <w:sz w:val="24"/>
          <w:szCs w:val="24"/>
        </w:rPr>
      </w:pPr>
      <w:r>
        <w:rPr>
          <w:b/>
          <w:bCs/>
          <w:sz w:val="24"/>
          <w:szCs w:val="24"/>
        </w:rPr>
        <w:t>4.5.5</w:t>
      </w:r>
      <w:r>
        <w:rPr>
          <w:sz w:val="24"/>
          <w:szCs w:val="24"/>
        </w:rPr>
        <w:t xml:space="preserve"> 建筑室内的建筑风格应与功能需求相协调，并体现地域文化、民族文化和历史文脉。</w:t>
      </w:r>
    </w:p>
    <w:p w14:paraId="57988C23">
      <w:pPr>
        <w:widowControl/>
        <w:spacing w:before="120" w:after="120" w:line="312" w:lineRule="auto"/>
        <w:rPr>
          <w:sz w:val="24"/>
          <w:szCs w:val="24"/>
        </w:rPr>
      </w:pPr>
    </w:p>
    <w:p w14:paraId="1244F11C">
      <w:pPr>
        <w:spacing w:before="120" w:after="120" w:line="312" w:lineRule="auto"/>
        <w:jc w:val="center"/>
        <w:rPr>
          <w:b/>
          <w:bCs/>
          <w:sz w:val="24"/>
          <w:szCs w:val="24"/>
        </w:rPr>
      </w:pPr>
      <w:bookmarkStart w:id="159" w:name="_Toc2067"/>
      <w:bookmarkStart w:id="160" w:name="_Toc164097255"/>
      <w:bookmarkStart w:id="161" w:name="_Toc201158895"/>
      <w:r>
        <w:rPr>
          <w:b/>
          <w:bCs/>
          <w:sz w:val="24"/>
          <w:szCs w:val="24"/>
        </w:rPr>
        <w:t>Ⅲ 感官体验</w:t>
      </w:r>
      <w:bookmarkEnd w:id="159"/>
      <w:bookmarkEnd w:id="160"/>
      <w:bookmarkEnd w:id="161"/>
    </w:p>
    <w:p w14:paraId="31E8891F">
      <w:pPr>
        <w:widowControl/>
        <w:spacing w:before="120" w:after="120" w:line="312" w:lineRule="auto"/>
        <w:rPr>
          <w:sz w:val="24"/>
          <w:szCs w:val="24"/>
        </w:rPr>
      </w:pPr>
      <w:r>
        <w:rPr>
          <w:b/>
          <w:bCs/>
          <w:sz w:val="24"/>
          <w:szCs w:val="24"/>
        </w:rPr>
        <w:t xml:space="preserve">4.5.6 </w:t>
      </w:r>
      <w:r>
        <w:rPr>
          <w:sz w:val="24"/>
          <w:szCs w:val="24"/>
        </w:rPr>
        <w:t>室内视觉环境应满足使用者的功能性需求及心理性需求。</w:t>
      </w:r>
    </w:p>
    <w:p w14:paraId="121056A8">
      <w:pPr>
        <w:widowControl/>
        <w:spacing w:before="120" w:after="120" w:line="312" w:lineRule="auto"/>
        <w:rPr>
          <w:sz w:val="24"/>
          <w:szCs w:val="24"/>
        </w:rPr>
      </w:pPr>
      <w:r>
        <w:rPr>
          <w:b/>
          <w:bCs/>
          <w:sz w:val="24"/>
          <w:szCs w:val="24"/>
        </w:rPr>
        <w:t xml:space="preserve">4.5.7 </w:t>
      </w:r>
      <w:r>
        <w:rPr>
          <w:sz w:val="24"/>
          <w:szCs w:val="24"/>
        </w:rPr>
        <w:t>室内外声环境应符合感官舒适性要求，背景声环境应营造适宜的空间氛围。</w:t>
      </w:r>
    </w:p>
    <w:p w14:paraId="03E9127B">
      <w:pPr>
        <w:widowControl/>
        <w:spacing w:before="120" w:after="120" w:line="312" w:lineRule="auto"/>
        <w:rPr>
          <w:sz w:val="24"/>
          <w:szCs w:val="24"/>
        </w:rPr>
      </w:pPr>
      <w:r>
        <w:rPr>
          <w:b/>
          <w:bCs/>
          <w:sz w:val="24"/>
          <w:szCs w:val="24"/>
        </w:rPr>
        <w:t xml:space="preserve">4.5.8 </w:t>
      </w:r>
      <w:r>
        <w:rPr>
          <w:sz w:val="24"/>
          <w:szCs w:val="24"/>
        </w:rPr>
        <w:t>装饰装修材料、家具装饰品及构件的材质、色彩、造型与布局等</w:t>
      </w:r>
      <w:r>
        <w:rPr>
          <w:rFonts w:hint="eastAsia"/>
          <w:sz w:val="24"/>
          <w:szCs w:val="24"/>
        </w:rPr>
        <w:t>应</w:t>
      </w:r>
      <w:r>
        <w:rPr>
          <w:sz w:val="24"/>
          <w:szCs w:val="24"/>
        </w:rPr>
        <w:t>满足室内功能需求，</w:t>
      </w:r>
      <w:r>
        <w:rPr>
          <w:rFonts w:hint="eastAsia"/>
          <w:sz w:val="24"/>
          <w:szCs w:val="24"/>
        </w:rPr>
        <w:t>宜满足</w:t>
      </w:r>
      <w:r>
        <w:rPr>
          <w:sz w:val="24"/>
          <w:szCs w:val="24"/>
        </w:rPr>
        <w:t>使用者的心理需求。</w:t>
      </w:r>
    </w:p>
    <w:p w14:paraId="12E95542">
      <w:pPr>
        <w:widowControl/>
        <w:spacing w:before="120" w:after="120" w:line="312" w:lineRule="auto"/>
        <w:rPr>
          <w:sz w:val="24"/>
          <w:szCs w:val="24"/>
        </w:rPr>
      </w:pPr>
      <w:r>
        <w:rPr>
          <w:b/>
          <w:bCs/>
          <w:sz w:val="24"/>
          <w:szCs w:val="24"/>
        </w:rPr>
        <w:t>4.5.9</w:t>
      </w:r>
      <w:r>
        <w:rPr>
          <w:sz w:val="24"/>
          <w:szCs w:val="24"/>
        </w:rPr>
        <w:t xml:space="preserve"> 室内空间保持适宜的气味环境，</w:t>
      </w:r>
      <w:r>
        <w:rPr>
          <w:rFonts w:hint="eastAsia"/>
          <w:sz w:val="24"/>
          <w:szCs w:val="24"/>
        </w:rPr>
        <w:t>不应</w:t>
      </w:r>
      <w:r>
        <w:rPr>
          <w:sz w:val="24"/>
          <w:szCs w:val="24"/>
        </w:rPr>
        <w:t>产生不良气味。</w:t>
      </w:r>
    </w:p>
    <w:p w14:paraId="625684C4">
      <w:pPr>
        <w:spacing w:before="120" w:after="120" w:line="312" w:lineRule="auto"/>
        <w:jc w:val="center"/>
        <w:rPr>
          <w:b/>
          <w:bCs/>
          <w:sz w:val="24"/>
          <w:szCs w:val="24"/>
        </w:rPr>
      </w:pPr>
      <w:bookmarkStart w:id="162" w:name="_Toc164097256"/>
      <w:bookmarkStart w:id="163" w:name="_Toc3583"/>
      <w:bookmarkStart w:id="164" w:name="_Toc201158896"/>
    </w:p>
    <w:p w14:paraId="2C302CBE">
      <w:pPr>
        <w:spacing w:before="120" w:after="120" w:line="312" w:lineRule="auto"/>
        <w:jc w:val="center"/>
        <w:rPr>
          <w:b/>
          <w:bCs/>
          <w:sz w:val="24"/>
          <w:szCs w:val="24"/>
        </w:rPr>
      </w:pPr>
      <w:r>
        <w:rPr>
          <w:b/>
          <w:bCs/>
          <w:sz w:val="24"/>
          <w:szCs w:val="24"/>
        </w:rPr>
        <w:t>Ⅳ 功能营造</w:t>
      </w:r>
      <w:bookmarkEnd w:id="162"/>
      <w:bookmarkEnd w:id="163"/>
      <w:bookmarkEnd w:id="164"/>
    </w:p>
    <w:p w14:paraId="4F31512F">
      <w:pPr>
        <w:widowControl/>
        <w:spacing w:before="120" w:after="120" w:line="312" w:lineRule="auto"/>
        <w:rPr>
          <w:sz w:val="24"/>
          <w:szCs w:val="24"/>
        </w:rPr>
      </w:pPr>
      <w:r>
        <w:rPr>
          <w:b/>
          <w:bCs/>
          <w:sz w:val="24"/>
          <w:szCs w:val="24"/>
        </w:rPr>
        <w:t xml:space="preserve">4.5.10 </w:t>
      </w:r>
      <w:r>
        <w:rPr>
          <w:sz w:val="24"/>
          <w:szCs w:val="24"/>
        </w:rPr>
        <w:t>住宅、酒店客房等功能空间应</w:t>
      </w:r>
      <w:r>
        <w:rPr>
          <w:rFonts w:hint="eastAsia"/>
          <w:sz w:val="24"/>
          <w:szCs w:val="24"/>
        </w:rPr>
        <w:t>有</w:t>
      </w:r>
      <w:r>
        <w:rPr>
          <w:sz w:val="24"/>
          <w:szCs w:val="24"/>
        </w:rPr>
        <w:t>良好的私密性。病房在满足医疗监护要求的前提下，应提供适宜的私密性。</w:t>
      </w:r>
    </w:p>
    <w:p w14:paraId="6DEAB0A3">
      <w:pPr>
        <w:widowControl/>
        <w:spacing w:before="120" w:after="120" w:line="312" w:lineRule="auto"/>
        <w:rPr>
          <w:sz w:val="24"/>
          <w:szCs w:val="24"/>
        </w:rPr>
      </w:pPr>
      <w:r>
        <w:rPr>
          <w:b/>
          <w:bCs/>
          <w:sz w:val="24"/>
          <w:szCs w:val="24"/>
        </w:rPr>
        <w:t xml:space="preserve">4.5.11 </w:t>
      </w:r>
      <w:r>
        <w:rPr>
          <w:sz w:val="24"/>
          <w:szCs w:val="24"/>
        </w:rPr>
        <w:t>居住空间空间尺度宜宽松适度，形式美感，光环境氛围</w:t>
      </w:r>
      <w:r>
        <w:rPr>
          <w:rFonts w:hint="eastAsia"/>
          <w:sz w:val="24"/>
          <w:szCs w:val="24"/>
        </w:rPr>
        <w:t>适宜</w:t>
      </w:r>
      <w:r>
        <w:rPr>
          <w:sz w:val="24"/>
          <w:szCs w:val="24"/>
        </w:rPr>
        <w:t>。</w:t>
      </w:r>
    </w:p>
    <w:p w14:paraId="6251FAA8">
      <w:pPr>
        <w:spacing w:line="288" w:lineRule="auto"/>
        <w:ind w:firstLine="210" w:firstLineChars="100"/>
        <w:rPr>
          <w:rFonts w:ascii="仿宋_GB2312" w:eastAsia="仿宋_GB2312"/>
          <w:color w:val="4F81BD" w:themeColor="accent1"/>
          <w:szCs w:val="21"/>
          <w:u w:val="single"/>
          <w14:textFill>
            <w14:solidFill>
              <w14:schemeClr w14:val="accent1"/>
            </w14:solidFill>
          </w14:textFill>
        </w:rPr>
      </w:pPr>
    </w:p>
    <w:p w14:paraId="7E09D917">
      <w:pPr>
        <w:widowControl/>
        <w:spacing w:before="120" w:after="120" w:line="312" w:lineRule="auto"/>
        <w:rPr>
          <w:sz w:val="24"/>
          <w:szCs w:val="24"/>
        </w:rPr>
      </w:pPr>
    </w:p>
    <w:p w14:paraId="5ADA544B">
      <w:pPr>
        <w:widowControl/>
        <w:spacing w:before="120" w:after="120" w:line="312" w:lineRule="auto"/>
        <w:rPr>
          <w:sz w:val="24"/>
          <w:szCs w:val="24"/>
        </w:rPr>
      </w:pPr>
      <w:r>
        <w:rPr>
          <w:b/>
          <w:bCs/>
          <w:sz w:val="24"/>
          <w:szCs w:val="24"/>
        </w:rPr>
        <w:t xml:space="preserve">4.5.12 </w:t>
      </w:r>
      <w:r>
        <w:rPr>
          <w:sz w:val="24"/>
          <w:szCs w:val="24"/>
        </w:rPr>
        <w:t>办公空间应兼顾工作专注度与休闲舒适度，工作区域照度应符合</w:t>
      </w:r>
      <w:r>
        <w:rPr>
          <w:rFonts w:hint="eastAsia"/>
          <w:sz w:val="24"/>
          <w:szCs w:val="24"/>
        </w:rPr>
        <w:t>相关</w:t>
      </w:r>
      <w:r>
        <w:rPr>
          <w:sz w:val="24"/>
          <w:szCs w:val="24"/>
        </w:rPr>
        <w:t>标准要求，光环境应满足视觉舒适性需求。</w:t>
      </w:r>
    </w:p>
    <w:p w14:paraId="2ACE9861">
      <w:pPr>
        <w:widowControl/>
        <w:spacing w:before="120" w:after="120" w:line="312" w:lineRule="auto"/>
        <w:rPr>
          <w:sz w:val="24"/>
          <w:szCs w:val="24"/>
        </w:rPr>
      </w:pPr>
      <w:r>
        <w:rPr>
          <w:b/>
          <w:bCs/>
          <w:sz w:val="24"/>
          <w:szCs w:val="24"/>
        </w:rPr>
        <w:t xml:space="preserve">4.5.13 </w:t>
      </w:r>
      <w:r>
        <w:rPr>
          <w:sz w:val="24"/>
          <w:szCs w:val="24"/>
        </w:rPr>
        <w:t>文化与娱乐场所空间</w:t>
      </w:r>
      <w:r>
        <w:rPr>
          <w:rFonts w:hint="eastAsia"/>
          <w:sz w:val="24"/>
          <w:szCs w:val="24"/>
        </w:rPr>
        <w:t>的</w:t>
      </w:r>
      <w:r>
        <w:rPr>
          <w:sz w:val="24"/>
          <w:szCs w:val="24"/>
        </w:rPr>
        <w:t>使用者体验感受</w:t>
      </w:r>
      <w:r>
        <w:rPr>
          <w:rFonts w:hint="eastAsia"/>
          <w:sz w:val="24"/>
          <w:szCs w:val="24"/>
        </w:rPr>
        <w:t>应良好</w:t>
      </w:r>
      <w:r>
        <w:rPr>
          <w:sz w:val="24"/>
          <w:szCs w:val="24"/>
        </w:rPr>
        <w:t>，空间组织与环境氛围</w:t>
      </w:r>
      <w:r>
        <w:rPr>
          <w:rFonts w:hint="eastAsia"/>
          <w:sz w:val="24"/>
          <w:szCs w:val="24"/>
        </w:rPr>
        <w:t>应</w:t>
      </w:r>
      <w:r>
        <w:rPr>
          <w:sz w:val="24"/>
          <w:szCs w:val="24"/>
        </w:rPr>
        <w:t>提升</w:t>
      </w:r>
      <w:r>
        <w:rPr>
          <w:rFonts w:hint="eastAsia"/>
          <w:sz w:val="24"/>
          <w:szCs w:val="24"/>
        </w:rPr>
        <w:t>使用者</w:t>
      </w:r>
      <w:r>
        <w:rPr>
          <w:sz w:val="24"/>
          <w:szCs w:val="24"/>
        </w:rPr>
        <w:t>情绪体验。</w:t>
      </w:r>
    </w:p>
    <w:p w14:paraId="037465C7">
      <w:pPr>
        <w:widowControl/>
        <w:spacing w:before="120" w:after="120" w:line="312" w:lineRule="auto"/>
        <w:rPr>
          <w:sz w:val="24"/>
          <w:szCs w:val="24"/>
        </w:rPr>
      </w:pPr>
      <w:r>
        <w:rPr>
          <w:b/>
          <w:bCs/>
          <w:sz w:val="24"/>
          <w:szCs w:val="24"/>
        </w:rPr>
        <w:t>4.5.14</w:t>
      </w:r>
      <w:r>
        <w:rPr>
          <w:sz w:val="24"/>
          <w:szCs w:val="24"/>
        </w:rPr>
        <w:t xml:space="preserve"> 交通建筑室内空间应设置完善的视觉引导系统，</w:t>
      </w:r>
      <w:r>
        <w:rPr>
          <w:rFonts w:hint="eastAsia"/>
          <w:sz w:val="24"/>
          <w:szCs w:val="24"/>
        </w:rPr>
        <w:t>满足</w:t>
      </w:r>
      <w:r>
        <w:rPr>
          <w:sz w:val="24"/>
          <w:szCs w:val="24"/>
        </w:rPr>
        <w:t>路径流畅性与渐进性、信息传达的层次性与连续性、空间体验的整体性与连贯性，为使用者提供便捷、高效和舒适的通行环境。</w:t>
      </w:r>
    </w:p>
    <w:p w14:paraId="635D033C">
      <w:pPr>
        <w:widowControl/>
        <w:spacing w:before="120" w:after="120" w:line="312" w:lineRule="auto"/>
        <w:rPr>
          <w:sz w:val="24"/>
          <w:szCs w:val="24"/>
        </w:rPr>
      </w:pPr>
      <w:r>
        <w:rPr>
          <w:b/>
          <w:bCs/>
          <w:sz w:val="24"/>
          <w:szCs w:val="24"/>
        </w:rPr>
        <w:t xml:space="preserve">4.5.15 </w:t>
      </w:r>
      <w:r>
        <w:rPr>
          <w:sz w:val="24"/>
          <w:szCs w:val="24"/>
        </w:rPr>
        <w:t>医疗建筑室内空间应满足功能需求，功能布局</w:t>
      </w:r>
      <w:r>
        <w:rPr>
          <w:rFonts w:hint="eastAsia"/>
          <w:sz w:val="24"/>
          <w:szCs w:val="24"/>
        </w:rPr>
        <w:t>合理</w:t>
      </w:r>
      <w:r>
        <w:rPr>
          <w:sz w:val="24"/>
          <w:szCs w:val="24"/>
        </w:rPr>
        <w:t>，</w:t>
      </w:r>
      <w:r>
        <w:rPr>
          <w:rFonts w:hint="eastAsia"/>
          <w:sz w:val="24"/>
          <w:szCs w:val="24"/>
        </w:rPr>
        <w:t>满足</w:t>
      </w:r>
      <w:r>
        <w:rPr>
          <w:sz w:val="24"/>
          <w:szCs w:val="24"/>
        </w:rPr>
        <w:t>病患的心理感受和情绪需求。</w:t>
      </w:r>
    </w:p>
    <w:p w14:paraId="4F5B9504">
      <w:pPr>
        <w:spacing w:before="120" w:after="120" w:line="312" w:lineRule="auto"/>
        <w:ind w:firstLine="480" w:firstLineChars="200"/>
        <w:jc w:val="left"/>
        <w:rPr>
          <w:rFonts w:hint="eastAsia" w:ascii="仿宋_GB2312" w:hAnsi="宋体" w:eastAsia="仿宋_GB2312"/>
          <w:color w:val="4F81BD" w:themeColor="accent1"/>
          <w:sz w:val="24"/>
          <w:szCs w:val="24"/>
          <w:u w:val="single"/>
          <w14:textFill>
            <w14:solidFill>
              <w14:schemeClr w14:val="accent1"/>
            </w14:solidFill>
          </w14:textFill>
        </w:rPr>
      </w:pPr>
    </w:p>
    <w:p w14:paraId="0770A933">
      <w:pPr>
        <w:spacing w:before="120" w:after="120" w:line="312" w:lineRule="auto"/>
        <w:ind w:firstLine="482" w:firstLineChars="200"/>
        <w:jc w:val="center"/>
        <w:outlineLvl w:val="1"/>
        <w:rPr>
          <w:b/>
          <w:bCs/>
          <w:sz w:val="24"/>
          <w:szCs w:val="24"/>
        </w:rPr>
      </w:pPr>
      <w:bookmarkStart w:id="165" w:name="_Toc22570"/>
      <w:bookmarkStart w:id="166" w:name="_Toc1216"/>
      <w:bookmarkStart w:id="167" w:name="_Toc21036"/>
      <w:bookmarkStart w:id="168" w:name="_Toc10361"/>
      <w:bookmarkStart w:id="169" w:name="_Toc201158897"/>
      <w:bookmarkStart w:id="170" w:name="_Toc4534"/>
      <w:bookmarkStart w:id="171" w:name="_Toc6396"/>
      <w:r>
        <w:rPr>
          <w:b/>
          <w:bCs/>
          <w:sz w:val="24"/>
          <w:szCs w:val="24"/>
        </w:rPr>
        <w:t>4.6 人本关怀</w:t>
      </w:r>
      <w:bookmarkEnd w:id="165"/>
      <w:bookmarkEnd w:id="166"/>
      <w:bookmarkEnd w:id="167"/>
      <w:bookmarkEnd w:id="168"/>
      <w:bookmarkEnd w:id="169"/>
      <w:bookmarkEnd w:id="170"/>
      <w:bookmarkEnd w:id="171"/>
    </w:p>
    <w:p w14:paraId="0817CED7">
      <w:pPr>
        <w:spacing w:before="120" w:after="120" w:line="312" w:lineRule="auto"/>
        <w:rPr>
          <w:sz w:val="24"/>
          <w:szCs w:val="24"/>
        </w:rPr>
      </w:pPr>
      <w:r>
        <w:rPr>
          <w:b/>
          <w:bCs/>
          <w:sz w:val="24"/>
          <w:szCs w:val="24"/>
        </w:rPr>
        <w:t>4.6.1</w:t>
      </w:r>
      <w:r>
        <w:rPr>
          <w:sz w:val="24"/>
          <w:szCs w:val="24"/>
        </w:rPr>
        <w:t xml:space="preserve"> 建筑室内应设置</w:t>
      </w:r>
      <w:r>
        <w:rPr>
          <w:rFonts w:hint="eastAsia"/>
          <w:sz w:val="24"/>
          <w:szCs w:val="24"/>
        </w:rPr>
        <w:t>保障</w:t>
      </w:r>
      <w:r>
        <w:rPr>
          <w:sz w:val="24"/>
          <w:szCs w:val="24"/>
        </w:rPr>
        <w:t>儿童、老年人、女性及体弱病患等特殊人群的活动安全的安全防护措施。</w:t>
      </w:r>
    </w:p>
    <w:p w14:paraId="453721A3">
      <w:pPr>
        <w:spacing w:before="120" w:after="120" w:line="312" w:lineRule="auto"/>
        <w:rPr>
          <w:sz w:val="24"/>
          <w:szCs w:val="24"/>
        </w:rPr>
      </w:pPr>
      <w:r>
        <w:rPr>
          <w:b/>
          <w:bCs/>
          <w:sz w:val="24"/>
          <w:szCs w:val="24"/>
        </w:rPr>
        <w:t>4.6.2</w:t>
      </w:r>
      <w:r>
        <w:rPr>
          <w:sz w:val="24"/>
          <w:szCs w:val="24"/>
        </w:rPr>
        <w:t xml:space="preserve"> 建筑室内外的连接区域无障碍通行流线</w:t>
      </w:r>
      <w:r>
        <w:rPr>
          <w:rFonts w:hint="eastAsia"/>
          <w:sz w:val="24"/>
          <w:szCs w:val="24"/>
        </w:rPr>
        <w:t>应连贯</w:t>
      </w:r>
      <w:r>
        <w:rPr>
          <w:sz w:val="24"/>
          <w:szCs w:val="24"/>
        </w:rPr>
        <w:t>，配置符合规范要求的无障碍设施。</w:t>
      </w:r>
    </w:p>
    <w:p w14:paraId="2AE93D56">
      <w:pPr>
        <w:spacing w:before="120" w:after="120" w:line="312" w:lineRule="auto"/>
        <w:rPr>
          <w:sz w:val="24"/>
          <w:szCs w:val="24"/>
        </w:rPr>
      </w:pPr>
      <w:r>
        <w:rPr>
          <w:b/>
          <w:bCs/>
          <w:sz w:val="24"/>
          <w:szCs w:val="24"/>
        </w:rPr>
        <w:t>4.6.3</w:t>
      </w:r>
      <w:r>
        <w:rPr>
          <w:sz w:val="24"/>
          <w:szCs w:val="24"/>
        </w:rPr>
        <w:t xml:space="preserve"> 室内空间</w:t>
      </w:r>
      <w:r>
        <w:rPr>
          <w:rFonts w:hint="eastAsia"/>
          <w:sz w:val="24"/>
          <w:szCs w:val="24"/>
        </w:rPr>
        <w:t>应提供</w:t>
      </w:r>
      <w:r>
        <w:rPr>
          <w:sz w:val="24"/>
          <w:szCs w:val="24"/>
        </w:rPr>
        <w:t>充分考虑婴幼儿、老年人、女性等特殊使用群体的生理特征、心理特性和行为特点的功能空间和辅助设施。</w:t>
      </w:r>
    </w:p>
    <w:p w14:paraId="378F2B14">
      <w:pPr>
        <w:spacing w:before="120" w:after="120" w:line="312" w:lineRule="auto"/>
        <w:rPr>
          <w:sz w:val="24"/>
          <w:szCs w:val="24"/>
        </w:rPr>
      </w:pPr>
      <w:r>
        <w:rPr>
          <w:b/>
          <w:bCs/>
          <w:sz w:val="24"/>
          <w:szCs w:val="24"/>
        </w:rPr>
        <w:t>4.6.4</w:t>
      </w:r>
      <w:r>
        <w:rPr>
          <w:sz w:val="24"/>
          <w:szCs w:val="24"/>
        </w:rPr>
        <w:t xml:space="preserve"> 建筑空间应根据不同使用人群的特点，合理配置适宜的功能空间和配套设施，满足多样化使用需求。</w:t>
      </w:r>
    </w:p>
    <w:p w14:paraId="6082C59D">
      <w:pPr>
        <w:spacing w:before="120" w:after="120" w:line="312" w:lineRule="auto"/>
        <w:rPr>
          <w:sz w:val="24"/>
          <w:szCs w:val="24"/>
        </w:rPr>
      </w:pPr>
      <w:r>
        <w:rPr>
          <w:sz w:val="24"/>
          <w:szCs w:val="24"/>
        </w:rPr>
        <w:br w:type="page"/>
      </w:r>
    </w:p>
    <w:p w14:paraId="13E4012A">
      <w:pPr>
        <w:spacing w:before="120" w:after="120" w:line="312" w:lineRule="auto"/>
        <w:jc w:val="center"/>
        <w:outlineLvl w:val="0"/>
        <w:rPr>
          <w:b/>
          <w:bCs/>
          <w:sz w:val="28"/>
          <w:szCs w:val="28"/>
        </w:rPr>
      </w:pPr>
      <w:bookmarkStart w:id="172" w:name="_Toc24001"/>
      <w:bookmarkStart w:id="173" w:name="_Toc4219"/>
      <w:bookmarkStart w:id="174" w:name="_Toc26720"/>
      <w:bookmarkStart w:id="175" w:name="_Toc17679"/>
      <w:bookmarkStart w:id="176" w:name="_Toc32314"/>
      <w:bookmarkStart w:id="177" w:name="_Toc11246"/>
      <w:bookmarkStart w:id="178" w:name="_Toc201158898"/>
      <w:bookmarkStart w:id="179" w:name="_Toc12662"/>
      <w:bookmarkStart w:id="180" w:name="_Toc29100"/>
      <w:bookmarkStart w:id="181" w:name="_Toc424"/>
      <w:bookmarkStart w:id="182" w:name="_Toc27682"/>
      <w:r>
        <w:rPr>
          <w:b/>
          <w:bCs/>
          <w:sz w:val="28"/>
          <w:szCs w:val="28"/>
        </w:rPr>
        <w:t>5 技术措施</w:t>
      </w:r>
      <w:bookmarkEnd w:id="172"/>
      <w:bookmarkEnd w:id="173"/>
      <w:bookmarkEnd w:id="174"/>
      <w:bookmarkEnd w:id="175"/>
      <w:bookmarkEnd w:id="176"/>
      <w:bookmarkEnd w:id="177"/>
      <w:bookmarkEnd w:id="178"/>
      <w:bookmarkEnd w:id="179"/>
      <w:bookmarkEnd w:id="180"/>
      <w:bookmarkEnd w:id="181"/>
      <w:bookmarkEnd w:id="182"/>
    </w:p>
    <w:p w14:paraId="2D0D55AA">
      <w:pPr>
        <w:spacing w:before="120" w:after="120" w:line="312" w:lineRule="auto"/>
        <w:jc w:val="center"/>
        <w:outlineLvl w:val="1"/>
        <w:rPr>
          <w:b/>
          <w:bCs/>
          <w:sz w:val="24"/>
          <w:szCs w:val="24"/>
        </w:rPr>
      </w:pPr>
      <w:bookmarkStart w:id="183" w:name="_Toc17178"/>
      <w:bookmarkStart w:id="184" w:name="_Toc19624"/>
      <w:bookmarkStart w:id="185" w:name="_Toc29770"/>
      <w:bookmarkStart w:id="186" w:name="_Toc201158899"/>
      <w:bookmarkStart w:id="187" w:name="_Toc8325"/>
      <w:bookmarkStart w:id="188" w:name="_Toc30714"/>
      <w:bookmarkStart w:id="189" w:name="_Toc17506"/>
      <w:bookmarkStart w:id="190" w:name="_Toc17262"/>
      <w:bookmarkStart w:id="191" w:name="_Toc12191"/>
      <w:bookmarkStart w:id="192" w:name="_Toc2845"/>
      <w:bookmarkStart w:id="193" w:name="_Toc6447"/>
      <w:r>
        <w:rPr>
          <w:b/>
          <w:bCs/>
          <w:sz w:val="24"/>
          <w:szCs w:val="24"/>
        </w:rPr>
        <w:t>5.1 建筑</w:t>
      </w:r>
      <w:bookmarkEnd w:id="183"/>
      <w:bookmarkEnd w:id="184"/>
      <w:bookmarkEnd w:id="185"/>
      <w:bookmarkEnd w:id="186"/>
      <w:bookmarkEnd w:id="187"/>
      <w:bookmarkEnd w:id="188"/>
      <w:bookmarkEnd w:id="189"/>
      <w:bookmarkEnd w:id="190"/>
      <w:bookmarkEnd w:id="191"/>
      <w:bookmarkEnd w:id="192"/>
      <w:bookmarkEnd w:id="193"/>
    </w:p>
    <w:p w14:paraId="739C3771">
      <w:pPr>
        <w:spacing w:before="120" w:after="120" w:line="312" w:lineRule="auto"/>
        <w:jc w:val="center"/>
        <w:rPr>
          <w:sz w:val="24"/>
          <w:szCs w:val="24"/>
        </w:rPr>
      </w:pPr>
      <w:bookmarkStart w:id="194" w:name="_Toc28569"/>
      <w:bookmarkStart w:id="195" w:name="_Toc23135"/>
      <w:bookmarkStart w:id="196" w:name="_Toc201158900"/>
      <w:bookmarkStart w:id="197" w:name="_Toc12521"/>
      <w:r>
        <w:rPr>
          <w:sz w:val="24"/>
          <w:szCs w:val="24"/>
        </w:rPr>
        <w:t>Ⅰ 场地环境</w:t>
      </w:r>
      <w:bookmarkEnd w:id="194"/>
      <w:bookmarkEnd w:id="195"/>
      <w:bookmarkEnd w:id="196"/>
      <w:bookmarkEnd w:id="197"/>
    </w:p>
    <w:p w14:paraId="4B07DE57">
      <w:pPr>
        <w:spacing w:before="120" w:after="120" w:line="312" w:lineRule="auto"/>
        <w:rPr>
          <w:sz w:val="24"/>
          <w:szCs w:val="24"/>
        </w:rPr>
      </w:pPr>
      <w:r>
        <w:rPr>
          <w:b/>
          <w:bCs/>
          <w:sz w:val="24"/>
          <w:szCs w:val="24"/>
        </w:rPr>
        <w:t>5.1.1</w:t>
      </w:r>
      <w:r>
        <w:rPr>
          <w:sz w:val="24"/>
          <w:szCs w:val="24"/>
        </w:rPr>
        <w:t xml:space="preserve"> 建筑现场应进行放射环境和土壤氡的检测和调查，并对电磁环境、大气环境、生物环境、噪声环境及商业娱乐活动强度等进行调查、分析和预测。若相关环境不符合要求，应采取相应的环境改善措施或建筑措施，直至符合要求；如无法改进，应考虑迁址并重新规划建设。</w:t>
      </w:r>
    </w:p>
    <w:p w14:paraId="07E985DA">
      <w:pPr>
        <w:spacing w:before="120" w:after="120" w:line="312" w:lineRule="auto"/>
        <w:rPr>
          <w:sz w:val="24"/>
          <w:szCs w:val="24"/>
        </w:rPr>
      </w:pPr>
      <w:r>
        <w:rPr>
          <w:b/>
          <w:bCs/>
          <w:sz w:val="24"/>
          <w:szCs w:val="24"/>
        </w:rPr>
        <w:t>5.1.2</w:t>
      </w:r>
      <w:r>
        <w:rPr>
          <w:sz w:val="24"/>
          <w:szCs w:val="24"/>
        </w:rPr>
        <w:t xml:space="preserve"> 建筑应进行室外环境规划，分析建筑周边的环境状况。建筑现场应对室外环境进行详细计算分析，包括日照、风环境、热环境（城市热岛效应）、声环境及光环境等因素。</w:t>
      </w:r>
    </w:p>
    <w:p w14:paraId="24C0B24C">
      <w:pPr>
        <w:spacing w:before="120" w:after="120" w:line="312" w:lineRule="auto"/>
        <w:rPr>
          <w:sz w:val="24"/>
          <w:szCs w:val="24"/>
        </w:rPr>
      </w:pPr>
      <w:r>
        <w:rPr>
          <w:b/>
          <w:bCs/>
          <w:sz w:val="24"/>
          <w:szCs w:val="24"/>
        </w:rPr>
        <w:t>5.1.3</w:t>
      </w:r>
      <w:r>
        <w:rPr>
          <w:sz w:val="24"/>
          <w:szCs w:val="24"/>
        </w:rPr>
        <w:t xml:space="preserve"> 建筑场地应充分利用场地内外的自然景观资源，结合原有地形地貌合理布局，采用园林措施改善场地内的景观、热环境、声环境与光环境；建筑</w:t>
      </w:r>
      <w:r>
        <w:rPr>
          <w:rFonts w:hint="eastAsia"/>
          <w:sz w:val="24"/>
          <w:szCs w:val="24"/>
        </w:rPr>
        <w:t>首层和</w:t>
      </w:r>
      <w:r>
        <w:rPr>
          <w:sz w:val="24"/>
          <w:szCs w:val="24"/>
        </w:rPr>
        <w:t>周边可通过设置架空层、凉亭、廊道、冷巷、小院</w:t>
      </w:r>
      <w:r>
        <w:rPr>
          <w:rFonts w:hint="eastAsia"/>
          <w:sz w:val="24"/>
          <w:szCs w:val="24"/>
        </w:rPr>
        <w:t>、种植乔木</w:t>
      </w:r>
      <w:r>
        <w:rPr>
          <w:sz w:val="24"/>
          <w:szCs w:val="24"/>
        </w:rPr>
        <w:t>等方式，营造阴凉环境。</w:t>
      </w:r>
    </w:p>
    <w:p w14:paraId="0F84C6A2">
      <w:pPr>
        <w:spacing w:before="120" w:after="120" w:line="312" w:lineRule="auto"/>
        <w:rPr>
          <w:b/>
          <w:bCs/>
          <w:sz w:val="24"/>
          <w:szCs w:val="24"/>
        </w:rPr>
      </w:pPr>
      <w:r>
        <w:rPr>
          <w:b/>
          <w:bCs/>
          <w:sz w:val="24"/>
          <w:szCs w:val="24"/>
        </w:rPr>
        <w:t xml:space="preserve">5.1.4 </w:t>
      </w:r>
      <w:r>
        <w:rPr>
          <w:sz w:val="24"/>
          <w:szCs w:val="24"/>
        </w:rPr>
        <w:t>建筑及周边的夜景照明不得产生光污染，必须采取有效措施避免对周围环境产生负面影响。</w:t>
      </w:r>
    </w:p>
    <w:p w14:paraId="73C4F117">
      <w:pPr>
        <w:spacing w:before="120" w:after="120" w:line="312" w:lineRule="auto"/>
        <w:rPr>
          <w:sz w:val="24"/>
          <w:szCs w:val="24"/>
        </w:rPr>
      </w:pPr>
      <w:r>
        <w:rPr>
          <w:b/>
          <w:bCs/>
          <w:sz w:val="24"/>
          <w:szCs w:val="24"/>
        </w:rPr>
        <w:t>5.1.5</w:t>
      </w:r>
      <w:r>
        <w:rPr>
          <w:sz w:val="24"/>
          <w:szCs w:val="24"/>
        </w:rPr>
        <w:t xml:space="preserve"> 建筑应采取措施，改善周边的大气微环境，包括对污染源的控制与绿化措施的合理布局。</w:t>
      </w:r>
    </w:p>
    <w:p w14:paraId="6562010E">
      <w:pPr>
        <w:spacing w:before="120" w:after="120" w:line="312" w:lineRule="auto"/>
        <w:rPr>
          <w:b/>
          <w:bCs/>
          <w:sz w:val="24"/>
          <w:szCs w:val="24"/>
        </w:rPr>
      </w:pPr>
      <w:r>
        <w:rPr>
          <w:b/>
          <w:bCs/>
          <w:sz w:val="24"/>
          <w:szCs w:val="24"/>
        </w:rPr>
        <w:t>5.1.6</w:t>
      </w:r>
      <w:r>
        <w:rPr>
          <w:sz w:val="24"/>
          <w:szCs w:val="24"/>
        </w:rPr>
        <w:t xml:space="preserve"> 建筑应采取措施改善周边的动植物环境。应避免长时间积水现象，防止蚊虫滋生；同时应采取防鼠、防蟑螂</w:t>
      </w:r>
      <w:r>
        <w:rPr>
          <w:rFonts w:hint="eastAsia"/>
          <w:sz w:val="24"/>
          <w:szCs w:val="24"/>
        </w:rPr>
        <w:t>、</w:t>
      </w:r>
      <w:r>
        <w:rPr>
          <w:sz w:val="24"/>
          <w:szCs w:val="24"/>
        </w:rPr>
        <w:t>防止害虫滋生</w:t>
      </w:r>
      <w:r>
        <w:rPr>
          <w:rFonts w:hint="eastAsia"/>
          <w:sz w:val="24"/>
          <w:szCs w:val="24"/>
        </w:rPr>
        <w:t>等</w:t>
      </w:r>
      <w:r>
        <w:rPr>
          <w:sz w:val="24"/>
          <w:szCs w:val="24"/>
        </w:rPr>
        <w:t>措施。</w:t>
      </w:r>
    </w:p>
    <w:p w14:paraId="7BCF601B">
      <w:pPr>
        <w:spacing w:before="120" w:after="120" w:line="312" w:lineRule="auto"/>
        <w:rPr>
          <w:sz w:val="24"/>
        </w:rPr>
      </w:pPr>
      <w:r>
        <w:rPr>
          <w:b/>
          <w:bCs/>
          <w:sz w:val="24"/>
          <w:szCs w:val="24"/>
        </w:rPr>
        <w:t>5.1.7</w:t>
      </w:r>
      <w:r>
        <w:rPr>
          <w:sz w:val="24"/>
          <w:szCs w:val="24"/>
        </w:rPr>
        <w:t xml:space="preserve"> 建筑风格宜与所在区域的总体风貌相协调，设计中体现地域性与现代性相结合的特点。建筑体量、材料和色彩的结合应合理有序，光影效果和肌理协调平衡，整体视觉效果丰富多样，并能够彰显个性，突出特色。</w:t>
      </w:r>
    </w:p>
    <w:p w14:paraId="5DA6ECD5">
      <w:pPr>
        <w:spacing w:before="120" w:after="120" w:line="312" w:lineRule="auto"/>
        <w:rPr>
          <w:sz w:val="24"/>
          <w:szCs w:val="24"/>
        </w:rPr>
      </w:pPr>
      <w:r>
        <w:rPr>
          <w:b/>
          <w:bCs/>
          <w:sz w:val="24"/>
          <w:szCs w:val="24"/>
        </w:rPr>
        <w:t xml:space="preserve">5.1.8 </w:t>
      </w:r>
      <w:r>
        <w:rPr>
          <w:sz w:val="24"/>
          <w:szCs w:val="24"/>
        </w:rPr>
        <w:t>结合建筑布局与风格，合理选用天然材料，并通过设计空中花园、室内花园、室内绿植等方式，引入水体景观、自然光线和自然景观等自然元素，增强建筑的生态品质。</w:t>
      </w:r>
    </w:p>
    <w:p w14:paraId="67D89F7D">
      <w:pPr>
        <w:spacing w:before="120" w:after="120" w:line="312" w:lineRule="auto"/>
        <w:rPr>
          <w:sz w:val="24"/>
          <w:szCs w:val="24"/>
        </w:rPr>
      </w:pPr>
      <w:r>
        <w:rPr>
          <w:b/>
          <w:bCs/>
          <w:sz w:val="24"/>
          <w:szCs w:val="24"/>
        </w:rPr>
        <w:t>5.1.9</w:t>
      </w:r>
      <w:r>
        <w:rPr>
          <w:sz w:val="24"/>
          <w:szCs w:val="24"/>
        </w:rPr>
        <w:t xml:space="preserve"> 建筑立面开窗设计应与外部景观相协调，保证视野通透性与美观性。</w:t>
      </w:r>
    </w:p>
    <w:p w14:paraId="7C6B5EC4">
      <w:pPr>
        <w:spacing w:before="120" w:after="120" w:line="312" w:lineRule="auto"/>
        <w:rPr>
          <w:sz w:val="24"/>
          <w:szCs w:val="24"/>
        </w:rPr>
      </w:pPr>
      <w:r>
        <w:rPr>
          <w:b/>
          <w:bCs/>
          <w:sz w:val="24"/>
          <w:szCs w:val="24"/>
        </w:rPr>
        <w:t>5.1.10</w:t>
      </w:r>
      <w:r>
        <w:rPr>
          <w:sz w:val="24"/>
          <w:szCs w:val="24"/>
        </w:rPr>
        <w:t xml:space="preserve"> 根据建筑的使用人群及功能要求，合理选择</w:t>
      </w:r>
      <w:r>
        <w:rPr>
          <w:b/>
          <w:bCs/>
          <w:sz w:val="24"/>
          <w:szCs w:val="24"/>
        </w:rPr>
        <w:t>适宜</w:t>
      </w:r>
      <w:r>
        <w:rPr>
          <w:sz w:val="24"/>
          <w:szCs w:val="24"/>
        </w:rPr>
        <w:t>气味的植物与花卉，营造符合功能需求的舒适环境氛围。</w:t>
      </w:r>
    </w:p>
    <w:p w14:paraId="3E1F75AC">
      <w:pPr>
        <w:spacing w:before="120" w:after="120" w:line="312" w:lineRule="auto"/>
        <w:rPr>
          <w:sz w:val="24"/>
          <w:szCs w:val="24"/>
        </w:rPr>
      </w:pPr>
    </w:p>
    <w:p w14:paraId="57F213AF">
      <w:pPr>
        <w:spacing w:before="120" w:after="120" w:line="312" w:lineRule="auto"/>
        <w:jc w:val="center"/>
        <w:rPr>
          <w:sz w:val="24"/>
          <w:szCs w:val="24"/>
        </w:rPr>
      </w:pPr>
      <w:bookmarkStart w:id="198" w:name="_Toc11206"/>
      <w:bookmarkStart w:id="199" w:name="_Toc201158901"/>
      <w:bookmarkStart w:id="200" w:name="_Toc2506"/>
      <w:bookmarkStart w:id="201" w:name="_Toc8558"/>
      <w:r>
        <w:rPr>
          <w:sz w:val="24"/>
          <w:szCs w:val="24"/>
        </w:rPr>
        <w:t>Ⅱ 建筑</w:t>
      </w:r>
      <w:bookmarkEnd w:id="198"/>
      <w:bookmarkEnd w:id="199"/>
      <w:bookmarkEnd w:id="200"/>
      <w:bookmarkEnd w:id="201"/>
    </w:p>
    <w:p w14:paraId="7CEA165C">
      <w:pPr>
        <w:spacing w:before="120" w:after="120" w:line="312" w:lineRule="auto"/>
        <w:rPr>
          <w:b/>
          <w:bCs/>
          <w:sz w:val="24"/>
          <w:szCs w:val="24"/>
        </w:rPr>
      </w:pPr>
      <w:r>
        <w:rPr>
          <w:b/>
          <w:bCs/>
          <w:sz w:val="24"/>
          <w:szCs w:val="24"/>
        </w:rPr>
        <w:t>5.1.11</w:t>
      </w:r>
      <w:r>
        <w:rPr>
          <w:sz w:val="24"/>
          <w:szCs w:val="24"/>
        </w:rPr>
        <w:t xml:space="preserve"> 建筑应根据采光、通风、日照、室内噪声、室内空气质量及私密性等要求，优化调整建筑的布局、体型、朝向及门窗洞口等，必要时，应进行日照、采光、通风及室内噪声的模拟计算，以确保室内环境满足相关标准要求。</w:t>
      </w:r>
    </w:p>
    <w:p w14:paraId="3B68B5F1">
      <w:pPr>
        <w:spacing w:before="120" w:after="120" w:line="312" w:lineRule="auto"/>
        <w:rPr>
          <w:sz w:val="24"/>
          <w:szCs w:val="24"/>
        </w:rPr>
      </w:pPr>
      <w:r>
        <w:rPr>
          <w:b/>
          <w:bCs/>
          <w:sz w:val="24"/>
          <w:szCs w:val="24"/>
        </w:rPr>
        <w:t>5.1.12</w:t>
      </w:r>
      <w:r>
        <w:rPr>
          <w:sz w:val="24"/>
          <w:szCs w:val="24"/>
        </w:rPr>
        <w:t xml:space="preserve"> 建筑应充分利用太阳光和天然采光：</w:t>
      </w:r>
    </w:p>
    <w:p w14:paraId="3B18B565">
      <w:pPr>
        <w:spacing w:before="120" w:after="120" w:line="312" w:lineRule="auto"/>
        <w:ind w:firstLine="480" w:firstLineChars="200"/>
        <w:rPr>
          <w:sz w:val="24"/>
          <w:szCs w:val="24"/>
        </w:rPr>
      </w:pPr>
      <w:r>
        <w:rPr>
          <w:sz w:val="24"/>
          <w:szCs w:val="24"/>
        </w:rPr>
        <w:t>1 控制建筑体量，减少内区占比；</w:t>
      </w:r>
    </w:p>
    <w:p w14:paraId="3DF3AB2C">
      <w:pPr>
        <w:spacing w:before="120" w:after="120" w:line="312" w:lineRule="auto"/>
        <w:ind w:firstLine="480" w:firstLineChars="200"/>
        <w:rPr>
          <w:sz w:val="24"/>
          <w:szCs w:val="24"/>
        </w:rPr>
      </w:pPr>
      <w:r>
        <w:rPr>
          <w:sz w:val="24"/>
          <w:szCs w:val="24"/>
        </w:rPr>
        <w:t>2 应减少西向办公室、起居室、卧室及北向卧室的设置；</w:t>
      </w:r>
    </w:p>
    <w:p w14:paraId="47FA9BC3">
      <w:pPr>
        <w:spacing w:before="120" w:after="120" w:line="312" w:lineRule="auto"/>
        <w:ind w:firstLine="480" w:firstLineChars="200"/>
        <w:rPr>
          <w:sz w:val="24"/>
          <w:szCs w:val="24"/>
        </w:rPr>
      </w:pPr>
      <w:r>
        <w:rPr>
          <w:sz w:val="24"/>
          <w:szCs w:val="24"/>
        </w:rPr>
        <w:t>3 建筑的主要区域应充分利用天然采光，楼梯间和前室宜充分利用天然采光；</w:t>
      </w:r>
    </w:p>
    <w:p w14:paraId="74366D71">
      <w:pPr>
        <w:spacing w:before="120" w:after="120" w:line="312" w:lineRule="auto"/>
        <w:ind w:firstLine="480" w:firstLineChars="200"/>
        <w:rPr>
          <w:sz w:val="24"/>
          <w:szCs w:val="24"/>
        </w:rPr>
      </w:pPr>
      <w:r>
        <w:rPr>
          <w:sz w:val="24"/>
          <w:szCs w:val="24"/>
        </w:rPr>
        <w:t>4 应通过优化建筑朝向、布局、间距、进深、开窗形式及玻璃性能等措施，引入自然光；</w:t>
      </w:r>
    </w:p>
    <w:p w14:paraId="67116D94">
      <w:pPr>
        <w:spacing w:before="120" w:after="120" w:line="312" w:lineRule="auto"/>
        <w:ind w:firstLine="480" w:firstLineChars="200"/>
        <w:rPr>
          <w:sz w:val="24"/>
          <w:szCs w:val="24"/>
        </w:rPr>
      </w:pPr>
      <w:r>
        <w:rPr>
          <w:sz w:val="24"/>
          <w:szCs w:val="24"/>
        </w:rPr>
        <w:t>5 宜采用导光和反光装置将天然光引入室内，减少照明时长，或利用太阳能作为照明能源。</w:t>
      </w:r>
    </w:p>
    <w:p w14:paraId="22A5A567">
      <w:pPr>
        <w:spacing w:before="120" w:after="120" w:line="312" w:lineRule="auto"/>
        <w:rPr>
          <w:sz w:val="24"/>
          <w:szCs w:val="24"/>
        </w:rPr>
      </w:pPr>
      <w:r>
        <w:rPr>
          <w:b/>
          <w:bCs/>
          <w:sz w:val="24"/>
          <w:szCs w:val="24"/>
        </w:rPr>
        <w:t>5.1.13</w:t>
      </w:r>
      <w:r>
        <w:rPr>
          <w:sz w:val="24"/>
          <w:szCs w:val="24"/>
        </w:rPr>
        <w:t xml:space="preserve"> 采取如下措施优化室内通风换气：</w:t>
      </w:r>
    </w:p>
    <w:p w14:paraId="47C723B4">
      <w:pPr>
        <w:spacing w:before="120" w:after="120" w:line="312" w:lineRule="auto"/>
        <w:ind w:firstLine="480" w:firstLineChars="200"/>
        <w:rPr>
          <w:sz w:val="24"/>
          <w:szCs w:val="24"/>
        </w:rPr>
      </w:pPr>
      <w:r>
        <w:rPr>
          <w:sz w:val="24"/>
          <w:szCs w:val="24"/>
        </w:rPr>
        <w:t>1 应优化建筑空间和平面布局，改善自然通风效果；</w:t>
      </w:r>
    </w:p>
    <w:p w14:paraId="3DB18E93">
      <w:pPr>
        <w:spacing w:before="120" w:after="120" w:line="312" w:lineRule="auto"/>
        <w:ind w:firstLine="480" w:firstLineChars="200"/>
        <w:rPr>
          <w:sz w:val="24"/>
          <w:szCs w:val="24"/>
        </w:rPr>
      </w:pPr>
      <w:r>
        <w:rPr>
          <w:sz w:val="24"/>
          <w:szCs w:val="24"/>
        </w:rPr>
        <w:t>2 宜进行各风向的室内通风模拟；</w:t>
      </w:r>
    </w:p>
    <w:p w14:paraId="5FB7839A">
      <w:pPr>
        <w:spacing w:before="120" w:after="120" w:line="312" w:lineRule="auto"/>
        <w:ind w:firstLine="480" w:firstLineChars="200"/>
        <w:rPr>
          <w:sz w:val="24"/>
          <w:szCs w:val="24"/>
        </w:rPr>
      </w:pPr>
      <w:r>
        <w:rPr>
          <w:sz w:val="24"/>
          <w:szCs w:val="24"/>
        </w:rPr>
        <w:t>3 可采取开敞通风、热压通风等措施，并加大门窗的开启面积；</w:t>
      </w:r>
    </w:p>
    <w:p w14:paraId="1E40A1DC">
      <w:pPr>
        <w:spacing w:before="120" w:after="120" w:line="312" w:lineRule="auto"/>
        <w:ind w:firstLine="480" w:firstLineChars="200"/>
        <w:rPr>
          <w:sz w:val="24"/>
          <w:szCs w:val="24"/>
        </w:rPr>
      </w:pPr>
      <w:r>
        <w:rPr>
          <w:sz w:val="24"/>
          <w:szCs w:val="24"/>
        </w:rPr>
        <w:t>4 必要时，采用独立机械通风措施。</w:t>
      </w:r>
    </w:p>
    <w:p w14:paraId="308E3284">
      <w:pPr>
        <w:spacing w:before="120" w:after="120" w:line="312" w:lineRule="auto"/>
        <w:ind w:firstLine="480" w:firstLineChars="200"/>
        <w:rPr>
          <w:sz w:val="24"/>
          <w:szCs w:val="24"/>
        </w:rPr>
      </w:pPr>
      <w:r>
        <w:rPr>
          <w:sz w:val="24"/>
          <w:szCs w:val="24"/>
        </w:rPr>
        <w:t>5 应评估室内风流向，采取措施避免通风不良、卫生间或厨房异味等问题；</w:t>
      </w:r>
    </w:p>
    <w:p w14:paraId="5A34B144">
      <w:pPr>
        <w:spacing w:before="120" w:after="120" w:line="312" w:lineRule="auto"/>
        <w:ind w:firstLine="480" w:firstLineChars="200"/>
        <w:rPr>
          <w:sz w:val="24"/>
          <w:szCs w:val="24"/>
        </w:rPr>
      </w:pPr>
      <w:r>
        <w:rPr>
          <w:sz w:val="24"/>
          <w:szCs w:val="24"/>
        </w:rPr>
        <w:t>6 住宅、酒店等建筑中的电梯间应设可开启窗扇；若透光幕墙无法设置可开启窗扇，应设置机械通风换气装置。</w:t>
      </w:r>
    </w:p>
    <w:p w14:paraId="32816A33">
      <w:pPr>
        <w:spacing w:before="120" w:after="120" w:line="312" w:lineRule="auto"/>
        <w:rPr>
          <w:sz w:val="24"/>
          <w:szCs w:val="24"/>
        </w:rPr>
      </w:pPr>
      <w:r>
        <w:rPr>
          <w:b/>
          <w:bCs/>
          <w:sz w:val="24"/>
          <w:szCs w:val="24"/>
        </w:rPr>
        <w:t>5.1.14</w:t>
      </w:r>
      <w:r>
        <w:rPr>
          <w:sz w:val="24"/>
          <w:szCs w:val="24"/>
        </w:rPr>
        <w:t xml:space="preserve"> 室内空间应具备合适的大小与比例，天花高度应与空间尺寸相适应。应合理布置柱和梁，避免出现房间缺角或房梁压顶现象。室内空间应与功能相契合，形状、线条、比例及布局等造型元素应保持平衡，符合居住者对空间的感知。</w:t>
      </w:r>
    </w:p>
    <w:p w14:paraId="29D400F8">
      <w:pPr>
        <w:spacing w:before="120" w:after="120" w:line="312" w:lineRule="auto"/>
        <w:rPr>
          <w:sz w:val="24"/>
          <w:szCs w:val="24"/>
        </w:rPr>
      </w:pPr>
      <w:r>
        <w:rPr>
          <w:b/>
          <w:bCs/>
          <w:sz w:val="24"/>
          <w:szCs w:val="24"/>
        </w:rPr>
        <w:t>5.1.15</w:t>
      </w:r>
      <w:r>
        <w:rPr>
          <w:sz w:val="24"/>
          <w:szCs w:val="24"/>
        </w:rPr>
        <w:t xml:space="preserve"> 建筑门窗、玻璃幕墙、天窗及遮阳系统（窗帘系统）的选用和设置应综合考虑隔热、遮阳、日照、采光、遮光、通风及隔声等功能需求，能够根据室内环境调节阳光和天然采光，改善室内热舒适性，并满足下列要求：</w:t>
      </w:r>
    </w:p>
    <w:p w14:paraId="4535E6C9">
      <w:pPr>
        <w:spacing w:before="120" w:after="120" w:line="312" w:lineRule="auto"/>
        <w:ind w:firstLine="482" w:firstLineChars="200"/>
        <w:rPr>
          <w:sz w:val="24"/>
          <w:szCs w:val="24"/>
        </w:rPr>
      </w:pPr>
      <w:r>
        <w:rPr>
          <w:b/>
          <w:bCs/>
          <w:sz w:val="24"/>
          <w:szCs w:val="24"/>
        </w:rPr>
        <w:t>1</w:t>
      </w:r>
      <w:r>
        <w:rPr>
          <w:sz w:val="24"/>
          <w:szCs w:val="24"/>
        </w:rPr>
        <w:t xml:space="preserve"> 门窗的开启面积应满足通风要求；</w:t>
      </w:r>
    </w:p>
    <w:p w14:paraId="3FE38BCE">
      <w:pPr>
        <w:spacing w:before="120" w:after="120" w:line="312" w:lineRule="auto"/>
        <w:ind w:firstLine="482" w:firstLineChars="200"/>
        <w:rPr>
          <w:sz w:val="24"/>
          <w:szCs w:val="24"/>
        </w:rPr>
      </w:pPr>
      <w:r>
        <w:rPr>
          <w:b/>
          <w:bCs/>
          <w:sz w:val="24"/>
          <w:szCs w:val="24"/>
        </w:rPr>
        <w:t>2</w:t>
      </w:r>
      <w:r>
        <w:rPr>
          <w:sz w:val="24"/>
          <w:szCs w:val="24"/>
        </w:rPr>
        <w:t xml:space="preserve"> 玻璃的选用应满足遮阳、采光的性能要求；</w:t>
      </w:r>
    </w:p>
    <w:p w14:paraId="17772F10">
      <w:pPr>
        <w:spacing w:before="120" w:after="120" w:line="312" w:lineRule="auto"/>
        <w:ind w:firstLine="482" w:firstLineChars="200"/>
        <w:rPr>
          <w:sz w:val="24"/>
          <w:szCs w:val="24"/>
        </w:rPr>
      </w:pPr>
      <w:r>
        <w:rPr>
          <w:b/>
          <w:bCs/>
          <w:sz w:val="24"/>
          <w:szCs w:val="24"/>
        </w:rPr>
        <w:t>3</w:t>
      </w:r>
      <w:r>
        <w:rPr>
          <w:sz w:val="24"/>
          <w:szCs w:val="24"/>
        </w:rPr>
        <w:t xml:space="preserve"> 外窗的隔声性能应满足室内环境噪声控制的要求；</w:t>
      </w:r>
    </w:p>
    <w:p w14:paraId="52552864">
      <w:pPr>
        <w:spacing w:before="120" w:after="120" w:line="312" w:lineRule="auto"/>
        <w:ind w:firstLine="482" w:firstLineChars="200"/>
        <w:rPr>
          <w:sz w:val="24"/>
          <w:szCs w:val="24"/>
        </w:rPr>
      </w:pPr>
      <w:r>
        <w:rPr>
          <w:b/>
          <w:bCs/>
          <w:sz w:val="24"/>
          <w:szCs w:val="24"/>
        </w:rPr>
        <w:t>4</w:t>
      </w:r>
      <w:r>
        <w:rPr>
          <w:sz w:val="24"/>
          <w:szCs w:val="24"/>
        </w:rPr>
        <w:t xml:space="preserve"> 外窗开启方式应便于开启和关闭，便于窗户清洁及室内外窗台的利用；</w:t>
      </w:r>
    </w:p>
    <w:p w14:paraId="27FB6B48">
      <w:pPr>
        <w:spacing w:before="120" w:after="120" w:line="312" w:lineRule="auto"/>
        <w:ind w:firstLine="482" w:firstLineChars="200"/>
        <w:rPr>
          <w:sz w:val="24"/>
          <w:szCs w:val="24"/>
        </w:rPr>
      </w:pPr>
      <w:r>
        <w:rPr>
          <w:b/>
          <w:bCs/>
          <w:sz w:val="24"/>
          <w:szCs w:val="24"/>
        </w:rPr>
        <w:t>5</w:t>
      </w:r>
      <w:r>
        <w:rPr>
          <w:sz w:val="24"/>
          <w:szCs w:val="24"/>
        </w:rPr>
        <w:t xml:space="preserve"> 天窗和外窗应配置遮阳、遮光装置或窗帘，满足室内遮阳、调光、私密性及控制阳光眩光等要求；</w:t>
      </w:r>
    </w:p>
    <w:p w14:paraId="734F72A8">
      <w:pPr>
        <w:spacing w:before="120" w:after="120" w:line="312" w:lineRule="auto"/>
        <w:ind w:firstLine="482" w:firstLineChars="200"/>
        <w:rPr>
          <w:sz w:val="24"/>
          <w:szCs w:val="24"/>
        </w:rPr>
      </w:pPr>
      <w:r>
        <w:rPr>
          <w:b/>
          <w:bCs/>
          <w:sz w:val="24"/>
          <w:szCs w:val="24"/>
        </w:rPr>
        <w:t>6</w:t>
      </w:r>
      <w:r>
        <w:rPr>
          <w:sz w:val="24"/>
          <w:szCs w:val="24"/>
        </w:rPr>
        <w:t xml:space="preserve"> 门窗及幕墙型材应采用隔热性能优良的复合型材（如铝塑共挤型材、铝木复合型材等）；人员常驻的房间及医院病房等场所，宜选用塑料、木材等暖手材料作为门窗的室内部分型材；医院等需频繁消毒的场所，应选用具备防酸碱清洗性能的材料作为室内部分型材；</w:t>
      </w:r>
    </w:p>
    <w:p w14:paraId="49EE9E80">
      <w:pPr>
        <w:spacing w:before="120" w:after="120" w:line="312" w:lineRule="auto"/>
        <w:ind w:firstLine="482" w:firstLineChars="200"/>
        <w:rPr>
          <w:sz w:val="24"/>
          <w:szCs w:val="24"/>
        </w:rPr>
      </w:pPr>
      <w:r>
        <w:rPr>
          <w:b/>
          <w:bCs/>
          <w:sz w:val="24"/>
          <w:szCs w:val="24"/>
        </w:rPr>
        <w:t>7</w:t>
      </w:r>
      <w:r>
        <w:rPr>
          <w:sz w:val="24"/>
          <w:szCs w:val="24"/>
        </w:rPr>
        <w:t xml:space="preserve"> 门窗及天窗的启闭宜采用电动装置，遮阳及调光装置（窗帘）宜电动启闭和调节，出入口门宜设置智能控制启闭；</w:t>
      </w:r>
    </w:p>
    <w:p w14:paraId="62437DEC">
      <w:pPr>
        <w:spacing w:before="120" w:after="120" w:line="312" w:lineRule="auto"/>
        <w:ind w:firstLine="482" w:firstLineChars="200"/>
        <w:rPr>
          <w:sz w:val="24"/>
          <w:szCs w:val="24"/>
        </w:rPr>
      </w:pPr>
      <w:r>
        <w:rPr>
          <w:b/>
          <w:bCs/>
          <w:sz w:val="24"/>
          <w:szCs w:val="24"/>
        </w:rPr>
        <w:t>8</w:t>
      </w:r>
      <w:r>
        <w:rPr>
          <w:sz w:val="24"/>
          <w:szCs w:val="24"/>
        </w:rPr>
        <w:t xml:space="preserve"> 卧室、起居室、酒店客房、病房、郊外建筑主要功能房等应设置防蚊虫纱窗。</w:t>
      </w:r>
    </w:p>
    <w:p w14:paraId="5242B660">
      <w:pPr>
        <w:spacing w:before="120" w:after="120" w:line="312" w:lineRule="auto"/>
        <w:rPr>
          <w:sz w:val="24"/>
          <w:szCs w:val="24"/>
        </w:rPr>
      </w:pPr>
      <w:r>
        <w:rPr>
          <w:b/>
          <w:bCs/>
          <w:sz w:val="24"/>
          <w:szCs w:val="24"/>
        </w:rPr>
        <w:t>5.1.16</w:t>
      </w:r>
      <w:r>
        <w:rPr>
          <w:sz w:val="24"/>
          <w:szCs w:val="24"/>
        </w:rPr>
        <w:t xml:space="preserve"> 屋顶可采用反射隔热、绿化、外保温及吊顶保温等隔热措施，并宜确保屋面有足够的高度。屋面应采取可靠耐久的防水措施，避免漏水现象。</w:t>
      </w:r>
    </w:p>
    <w:p w14:paraId="645B7370">
      <w:pPr>
        <w:spacing w:before="120" w:after="120" w:line="312" w:lineRule="auto"/>
        <w:rPr>
          <w:sz w:val="24"/>
          <w:szCs w:val="24"/>
        </w:rPr>
      </w:pPr>
      <w:r>
        <w:rPr>
          <w:b/>
          <w:bCs/>
          <w:sz w:val="24"/>
          <w:szCs w:val="24"/>
        </w:rPr>
        <w:t>5.1.17</w:t>
      </w:r>
      <w:r>
        <w:rPr>
          <w:sz w:val="24"/>
          <w:szCs w:val="24"/>
        </w:rPr>
        <w:t xml:space="preserve"> 外墙外表面宜采用反射隔热措施，墙体宜采用高效自保温轻质外墙，同时宜采用防火型轻质保温材料进行内保温。</w:t>
      </w:r>
    </w:p>
    <w:p w14:paraId="2368857A">
      <w:pPr>
        <w:spacing w:before="120" w:after="120" w:line="312" w:lineRule="auto"/>
        <w:rPr>
          <w:sz w:val="24"/>
          <w:szCs w:val="24"/>
        </w:rPr>
      </w:pPr>
      <w:r>
        <w:rPr>
          <w:b/>
          <w:bCs/>
          <w:sz w:val="24"/>
          <w:szCs w:val="24"/>
        </w:rPr>
        <w:t>5.1.18</w:t>
      </w:r>
      <w:r>
        <w:rPr>
          <w:sz w:val="24"/>
          <w:szCs w:val="24"/>
        </w:rPr>
        <w:t xml:space="preserve"> 墙体和隔墙采用复合构造隔声，满足建筑功能房间的隔声高要求，房间之间的隔声、楼板的撞击声隔声措施应满足要求。临近轨道交通的室内空间应采取针对性隔声措施。</w:t>
      </w:r>
    </w:p>
    <w:p w14:paraId="7BD56179">
      <w:pPr>
        <w:spacing w:before="120" w:after="120" w:line="312" w:lineRule="auto"/>
        <w:rPr>
          <w:sz w:val="24"/>
          <w:szCs w:val="24"/>
        </w:rPr>
      </w:pPr>
      <w:r>
        <w:rPr>
          <w:b/>
          <w:bCs/>
          <w:sz w:val="24"/>
          <w:szCs w:val="24"/>
        </w:rPr>
        <w:t>5.1.19</w:t>
      </w:r>
      <w:r>
        <w:rPr>
          <w:sz w:val="24"/>
          <w:szCs w:val="24"/>
        </w:rPr>
        <w:t xml:space="preserve"> 宾馆、医院病房等隔墙的隔声量应达到45dB以上，卫生间不宜与其他房间共用排风道和下水道，如共用，应采取消声、隔声措施。走廊门的隔声量应达到30dB以上。</w:t>
      </w:r>
    </w:p>
    <w:p w14:paraId="44095C16">
      <w:pPr>
        <w:spacing w:before="120" w:after="120" w:line="312" w:lineRule="auto"/>
        <w:rPr>
          <w:sz w:val="24"/>
          <w:szCs w:val="24"/>
        </w:rPr>
      </w:pPr>
      <w:r>
        <w:rPr>
          <w:b/>
          <w:bCs/>
          <w:sz w:val="24"/>
          <w:szCs w:val="24"/>
        </w:rPr>
        <w:t>5.1.20</w:t>
      </w:r>
      <w:r>
        <w:rPr>
          <w:sz w:val="24"/>
          <w:szCs w:val="24"/>
        </w:rPr>
        <w:t xml:space="preserve"> 建筑大空间应进行适当的室内声学设计，确保混响时间符合要求，避免出现回声、声聚焦等声学缺陷。</w:t>
      </w:r>
    </w:p>
    <w:p w14:paraId="361E9F05">
      <w:pPr>
        <w:spacing w:before="120" w:after="120" w:line="312" w:lineRule="auto"/>
        <w:rPr>
          <w:sz w:val="24"/>
          <w:szCs w:val="24"/>
        </w:rPr>
      </w:pPr>
      <w:r>
        <w:rPr>
          <w:b/>
          <w:bCs/>
          <w:sz w:val="24"/>
          <w:szCs w:val="24"/>
        </w:rPr>
        <w:t>5.1.21</w:t>
      </w:r>
      <w:r>
        <w:rPr>
          <w:sz w:val="24"/>
          <w:szCs w:val="24"/>
        </w:rPr>
        <w:t xml:space="preserve"> 影剧院、音乐厅、会堂等有特殊声学要求的重要建筑，应根据功能定位和使用要求进行建筑声学专项设计，确保其声学效果满足专业要求。</w:t>
      </w:r>
    </w:p>
    <w:p w14:paraId="4FC7534A">
      <w:pPr>
        <w:spacing w:before="120" w:after="120" w:line="312" w:lineRule="auto"/>
        <w:rPr>
          <w:sz w:val="24"/>
        </w:rPr>
      </w:pPr>
      <w:r>
        <w:rPr>
          <w:b/>
          <w:bCs/>
          <w:sz w:val="24"/>
        </w:rPr>
        <w:t>5.1.22</w:t>
      </w:r>
      <w:r>
        <w:rPr>
          <w:sz w:val="24"/>
        </w:rPr>
        <w:t xml:space="preserve"> 公共建筑和住宅应配置无障碍设施。建筑室内外的连接处应连贯的无障碍通行流线，并根据使用者需求配备适宜的无障碍设施，确保空间尺寸和设施符合无障碍要求。</w:t>
      </w:r>
    </w:p>
    <w:p w14:paraId="2CD31ADF">
      <w:pPr>
        <w:spacing w:before="120" w:after="120" w:line="312" w:lineRule="auto"/>
        <w:rPr>
          <w:sz w:val="24"/>
          <w:szCs w:val="24"/>
        </w:rPr>
      </w:pPr>
      <w:r>
        <w:rPr>
          <w:b/>
          <w:bCs/>
          <w:sz w:val="24"/>
          <w:szCs w:val="24"/>
        </w:rPr>
        <w:t>5.1.23</w:t>
      </w:r>
      <w:r>
        <w:rPr>
          <w:sz w:val="24"/>
          <w:szCs w:val="24"/>
        </w:rPr>
        <w:t xml:space="preserve"> 建筑出入口、台阶、人行坡道、无障碍通道、楼梯踏步面的铺装面层应采取防滑措施，符合现行行业标准《建筑地面工程防滑技术规程》JG/T 331的规定。</w:t>
      </w:r>
    </w:p>
    <w:p w14:paraId="39BAA073">
      <w:pPr>
        <w:spacing w:before="120" w:after="120" w:line="312" w:lineRule="auto"/>
        <w:rPr>
          <w:sz w:val="24"/>
        </w:rPr>
      </w:pPr>
      <w:r>
        <w:rPr>
          <w:b/>
          <w:bCs/>
          <w:sz w:val="24"/>
          <w:szCs w:val="24"/>
        </w:rPr>
        <w:t>5.1.24</w:t>
      </w:r>
      <w:r>
        <w:rPr>
          <w:sz w:val="24"/>
          <w:szCs w:val="24"/>
        </w:rPr>
        <w:t xml:space="preserve"> 室内不宜有台阶。如有台阶，其台阶踏步数不应少于3级，且每级台阶的高度不宜超过150mm；若台阶踏步数不足3级，应按人行坡道设置。</w:t>
      </w:r>
    </w:p>
    <w:p w14:paraId="47AA2189">
      <w:pPr>
        <w:spacing w:before="120" w:after="120" w:line="312" w:lineRule="auto"/>
        <w:rPr>
          <w:sz w:val="24"/>
        </w:rPr>
      </w:pPr>
      <w:r>
        <w:rPr>
          <w:b/>
          <w:bCs/>
          <w:sz w:val="24"/>
        </w:rPr>
        <w:t>5.1.25</w:t>
      </w:r>
      <w:r>
        <w:rPr>
          <w:sz w:val="24"/>
        </w:rPr>
        <w:t xml:space="preserve"> </w:t>
      </w:r>
      <w:r>
        <w:rPr>
          <w:sz w:val="24"/>
          <w:szCs w:val="24"/>
        </w:rPr>
        <w:t>室内空间应充分尊重弱势群体的特殊使用需求，优化以下细节：</w:t>
      </w:r>
    </w:p>
    <w:p w14:paraId="64D562BA">
      <w:pPr>
        <w:spacing w:before="120" w:after="120" w:line="312" w:lineRule="auto"/>
        <w:ind w:firstLine="482" w:firstLineChars="200"/>
        <w:rPr>
          <w:sz w:val="24"/>
        </w:rPr>
      </w:pPr>
      <w:r>
        <w:rPr>
          <w:b/>
          <w:bCs/>
          <w:sz w:val="24"/>
        </w:rPr>
        <w:t>1</w:t>
      </w:r>
      <w:r>
        <w:rPr>
          <w:sz w:val="24"/>
        </w:rPr>
        <w:t xml:space="preserve"> 公共建筑的厕所应根据客流聚集程度，适度上调女厕位的比例。</w:t>
      </w:r>
    </w:p>
    <w:p w14:paraId="6939713B">
      <w:pPr>
        <w:spacing w:before="120" w:after="120" w:line="312" w:lineRule="auto"/>
        <w:ind w:firstLine="482" w:firstLineChars="200"/>
        <w:rPr>
          <w:sz w:val="24"/>
        </w:rPr>
      </w:pPr>
      <w:r>
        <w:rPr>
          <w:b/>
          <w:bCs/>
          <w:sz w:val="24"/>
        </w:rPr>
        <w:t>2</w:t>
      </w:r>
      <w:r>
        <w:rPr>
          <w:sz w:val="24"/>
        </w:rPr>
        <w:t xml:space="preserve"> 公共建筑宜将无障碍卫生间和第三卫生间合并设置，</w:t>
      </w:r>
      <w:r>
        <w:rPr>
          <w:sz w:val="24"/>
          <w:szCs w:val="24"/>
        </w:rPr>
        <w:t>进一步完善硬件设施</w:t>
      </w:r>
      <w:r>
        <w:rPr>
          <w:sz w:val="24"/>
        </w:rPr>
        <w:t>考虑父母携带异性婴幼儿等特殊情况</w:t>
      </w:r>
      <w:r>
        <w:rPr>
          <w:sz w:val="24"/>
          <w:szCs w:val="24"/>
        </w:rPr>
        <w:t>，进行人性化设计</w:t>
      </w:r>
      <w:r>
        <w:rPr>
          <w:sz w:val="24"/>
        </w:rPr>
        <w:t>。</w:t>
      </w:r>
    </w:p>
    <w:p w14:paraId="5BB9C158">
      <w:pPr>
        <w:spacing w:before="120" w:after="120" w:line="312" w:lineRule="auto"/>
        <w:ind w:firstLine="482" w:firstLineChars="200"/>
        <w:rPr>
          <w:b/>
          <w:bCs/>
          <w:sz w:val="24"/>
        </w:rPr>
      </w:pPr>
      <w:r>
        <w:rPr>
          <w:b/>
          <w:bCs/>
          <w:sz w:val="24"/>
        </w:rPr>
        <w:t>3</w:t>
      </w:r>
      <w:r>
        <w:rPr>
          <w:sz w:val="24"/>
        </w:rPr>
        <w:t xml:space="preserve"> 大型公共建筑及妇幼人群较多使用的建筑应配置母婴室，使用面积不得小于4平方米，至少配备盥洗设施和哺乳设施。</w:t>
      </w:r>
    </w:p>
    <w:p w14:paraId="003B2FCE">
      <w:pPr>
        <w:spacing w:before="120" w:after="120" w:line="312" w:lineRule="auto"/>
        <w:ind w:firstLine="482" w:firstLineChars="200"/>
        <w:rPr>
          <w:sz w:val="24"/>
          <w:szCs w:val="24"/>
        </w:rPr>
      </w:pPr>
      <w:r>
        <w:rPr>
          <w:b/>
          <w:bCs/>
          <w:sz w:val="24"/>
        </w:rPr>
        <w:t xml:space="preserve">4 </w:t>
      </w:r>
      <w:r>
        <w:rPr>
          <w:sz w:val="24"/>
          <w:szCs w:val="24"/>
        </w:rPr>
        <w:t>商场、娱乐建筑等应设置儿童活动空间等，并配备相关设施。</w:t>
      </w:r>
    </w:p>
    <w:p w14:paraId="79A59559">
      <w:pPr>
        <w:spacing w:before="120" w:after="120" w:line="312" w:lineRule="auto"/>
        <w:ind w:firstLine="482" w:firstLineChars="200"/>
        <w:rPr>
          <w:sz w:val="24"/>
        </w:rPr>
      </w:pPr>
      <w:r>
        <w:rPr>
          <w:b/>
          <w:bCs/>
          <w:sz w:val="24"/>
          <w:szCs w:val="24"/>
        </w:rPr>
        <w:t>5</w:t>
      </w:r>
      <w:r>
        <w:rPr>
          <w:sz w:val="24"/>
          <w:szCs w:val="24"/>
        </w:rPr>
        <w:t xml:space="preserve"> </w:t>
      </w:r>
      <w:r>
        <w:rPr>
          <w:sz w:val="24"/>
        </w:rPr>
        <w:t>老人居住或活动的空间应设置符合老年人使用要求的地面、电梯、卫生间、台阶及无障碍设施。老年人较多使用的公共建筑、场所和居住区内宜设置带靠背及扶手的适老化座椅。</w:t>
      </w:r>
    </w:p>
    <w:p w14:paraId="605F7B48">
      <w:pPr>
        <w:spacing w:before="120" w:after="120" w:line="312" w:lineRule="auto"/>
        <w:rPr>
          <w:sz w:val="24"/>
          <w:szCs w:val="24"/>
        </w:rPr>
      </w:pPr>
      <w:r>
        <w:rPr>
          <w:b/>
          <w:bCs/>
          <w:sz w:val="24"/>
          <w:szCs w:val="24"/>
        </w:rPr>
        <w:t xml:space="preserve">5.1.26 </w:t>
      </w:r>
      <w:r>
        <w:rPr>
          <w:sz w:val="24"/>
          <w:szCs w:val="24"/>
        </w:rPr>
        <w:t>建筑室内与室外的连接处应有连贯的无障碍通行流线和无障碍设施，并根据使用者特点进行适宜的无障碍设计：</w:t>
      </w:r>
    </w:p>
    <w:p w14:paraId="4A095C70">
      <w:pPr>
        <w:spacing w:before="120" w:after="120" w:line="312" w:lineRule="auto"/>
        <w:ind w:firstLine="482" w:firstLineChars="200"/>
        <w:rPr>
          <w:sz w:val="24"/>
          <w:szCs w:val="24"/>
        </w:rPr>
      </w:pPr>
      <w:r>
        <w:rPr>
          <w:b/>
          <w:bCs/>
          <w:sz w:val="24"/>
          <w:szCs w:val="24"/>
        </w:rPr>
        <w:t>1</w:t>
      </w:r>
      <w:r>
        <w:rPr>
          <w:sz w:val="24"/>
          <w:szCs w:val="24"/>
        </w:rPr>
        <w:t xml:space="preserve"> 对于视觉障碍者，宜在主要出入口和室内重要节点增加盲文地图和语音导引系统，并在楼梯或台阶与平台之间、盲道与相邻人行道铺面之间设置明显的颜色或材质区别。</w:t>
      </w:r>
    </w:p>
    <w:p w14:paraId="642C0203">
      <w:pPr>
        <w:spacing w:before="120" w:after="120" w:line="312" w:lineRule="auto"/>
        <w:ind w:firstLine="482" w:firstLineChars="200"/>
        <w:rPr>
          <w:sz w:val="24"/>
          <w:szCs w:val="24"/>
        </w:rPr>
      </w:pPr>
      <w:r>
        <w:rPr>
          <w:b/>
          <w:bCs/>
          <w:sz w:val="24"/>
          <w:szCs w:val="24"/>
        </w:rPr>
        <w:t xml:space="preserve">2 </w:t>
      </w:r>
      <w:r>
        <w:rPr>
          <w:sz w:val="24"/>
          <w:szCs w:val="24"/>
        </w:rPr>
        <w:t>对于听力障碍者，宜在主要出入口和室内重要节点增加手语服务及文字提示系统。</w:t>
      </w:r>
    </w:p>
    <w:p w14:paraId="07561851">
      <w:pPr>
        <w:spacing w:before="120" w:after="120" w:line="312" w:lineRule="auto"/>
        <w:ind w:firstLine="482" w:firstLineChars="200"/>
        <w:rPr>
          <w:sz w:val="24"/>
          <w:szCs w:val="24"/>
        </w:rPr>
      </w:pPr>
      <w:r>
        <w:rPr>
          <w:b/>
          <w:bCs/>
          <w:sz w:val="24"/>
          <w:szCs w:val="24"/>
        </w:rPr>
        <w:t>3</w:t>
      </w:r>
      <w:r>
        <w:rPr>
          <w:sz w:val="24"/>
          <w:szCs w:val="24"/>
        </w:rPr>
        <w:t xml:space="preserve"> 鼓励公共建筑和居住区设置无障碍休息区、无障碍超市和其他便民服务设施，硬件上满足轮椅通行要求，管理上允许轮椅进入。</w:t>
      </w:r>
    </w:p>
    <w:p w14:paraId="0CEF8C22">
      <w:pPr>
        <w:spacing w:before="120" w:after="120" w:line="312" w:lineRule="auto"/>
        <w:ind w:firstLine="482" w:firstLineChars="200"/>
        <w:jc w:val="center"/>
        <w:outlineLvl w:val="1"/>
        <w:rPr>
          <w:b/>
          <w:bCs/>
          <w:sz w:val="24"/>
          <w:szCs w:val="24"/>
        </w:rPr>
      </w:pPr>
      <w:bookmarkStart w:id="202" w:name="_Toc201158902"/>
      <w:bookmarkStart w:id="203" w:name="_Toc10597"/>
      <w:bookmarkStart w:id="204" w:name="_Toc14159"/>
      <w:bookmarkStart w:id="205" w:name="_Toc29601"/>
      <w:bookmarkStart w:id="206" w:name="_Toc15952"/>
      <w:bookmarkStart w:id="207" w:name="_Toc32245"/>
      <w:bookmarkStart w:id="208" w:name="_Toc16023"/>
      <w:bookmarkStart w:id="209" w:name="_Toc8498"/>
      <w:bookmarkStart w:id="210" w:name="_Toc3998"/>
      <w:bookmarkStart w:id="211" w:name="_Toc16984"/>
      <w:bookmarkStart w:id="212" w:name="_Toc5979"/>
      <w:r>
        <w:rPr>
          <w:b/>
          <w:bCs/>
          <w:sz w:val="24"/>
          <w:szCs w:val="24"/>
        </w:rPr>
        <w:t>5.2 建筑室内装修</w:t>
      </w:r>
      <w:bookmarkEnd w:id="202"/>
      <w:bookmarkEnd w:id="203"/>
      <w:bookmarkEnd w:id="204"/>
      <w:bookmarkEnd w:id="205"/>
      <w:bookmarkEnd w:id="206"/>
      <w:bookmarkEnd w:id="207"/>
      <w:bookmarkEnd w:id="208"/>
      <w:bookmarkEnd w:id="209"/>
      <w:bookmarkEnd w:id="210"/>
      <w:bookmarkEnd w:id="211"/>
      <w:bookmarkEnd w:id="212"/>
    </w:p>
    <w:p w14:paraId="5CDFAA60">
      <w:pPr>
        <w:spacing w:before="120" w:after="120" w:line="312" w:lineRule="auto"/>
        <w:rPr>
          <w:sz w:val="24"/>
          <w:szCs w:val="24"/>
        </w:rPr>
      </w:pPr>
      <w:r>
        <w:rPr>
          <w:b/>
          <w:bCs/>
          <w:sz w:val="24"/>
          <w:szCs w:val="24"/>
        </w:rPr>
        <w:t>5.2.1</w:t>
      </w:r>
      <w:r>
        <w:rPr>
          <w:sz w:val="24"/>
          <w:szCs w:val="24"/>
        </w:rPr>
        <w:t xml:space="preserve"> 建筑室内装修应与建筑风格及房间功能相协调，室内空间设计应协同地域文化及传统文化特色，针对不同功能区域，精心设计文化艺术风格、空间场景及气氛，确保设计与使用需求相匹配。</w:t>
      </w:r>
    </w:p>
    <w:p w14:paraId="0B97FD4B">
      <w:pPr>
        <w:spacing w:before="120" w:after="120" w:line="312" w:lineRule="auto"/>
        <w:rPr>
          <w:sz w:val="24"/>
          <w:szCs w:val="24"/>
        </w:rPr>
      </w:pPr>
      <w:r>
        <w:rPr>
          <w:b/>
          <w:bCs/>
          <w:sz w:val="24"/>
        </w:rPr>
        <w:t xml:space="preserve">5.2.2 </w:t>
      </w:r>
      <w:r>
        <w:rPr>
          <w:sz w:val="24"/>
          <w:szCs w:val="24"/>
        </w:rPr>
        <w:t>建筑室内装修设计应综合考虑安装体系、安全性、耐久性、表面质量及易清洁维护性等因素，采取相应技术措施。设计范围包括地面、楼面、墙面、天花、门窗、窗帘、装饰、卫生间、厨房、楼梯、管道等部位，并尽可能减少卫生死角。</w:t>
      </w:r>
    </w:p>
    <w:p w14:paraId="60DCE69C">
      <w:pPr>
        <w:spacing w:before="120" w:after="120" w:line="312" w:lineRule="auto"/>
        <w:rPr>
          <w:sz w:val="24"/>
          <w:szCs w:val="24"/>
        </w:rPr>
      </w:pPr>
      <w:r>
        <w:rPr>
          <w:b/>
          <w:bCs/>
          <w:sz w:val="24"/>
        </w:rPr>
        <w:t>5.2.3</w:t>
      </w:r>
      <w:r>
        <w:rPr>
          <w:sz w:val="24"/>
        </w:rPr>
        <w:t xml:space="preserve"> 在分隔大空间时，</w:t>
      </w:r>
      <w:r>
        <w:rPr>
          <w:sz w:val="24"/>
          <w:szCs w:val="24"/>
        </w:rPr>
        <w:t>宜优先采用组合式或可移动式内隔墙，以实现空间灵活调整。</w:t>
      </w:r>
    </w:p>
    <w:p w14:paraId="1587C9A3">
      <w:pPr>
        <w:spacing w:before="120" w:after="120" w:line="312" w:lineRule="auto"/>
        <w:rPr>
          <w:sz w:val="24"/>
        </w:rPr>
      </w:pPr>
      <w:r>
        <w:rPr>
          <w:b/>
          <w:bCs/>
          <w:sz w:val="24"/>
        </w:rPr>
        <w:t>5.2.4</w:t>
      </w:r>
      <w:r>
        <w:rPr>
          <w:sz w:val="24"/>
        </w:rPr>
        <w:t xml:space="preserve"> 内门窗的选型和安装应符合人身安全和隔声等性能需求。门框应安装厚度不小于10mm的柔性密封条，或选用防夹手的闭门器。具有隔声要求的内门，应采取有效的密封措施，如增加密封条或门下密封装置等。</w:t>
      </w:r>
    </w:p>
    <w:p w14:paraId="154F3953">
      <w:pPr>
        <w:spacing w:before="120" w:after="120" w:line="312" w:lineRule="auto"/>
        <w:rPr>
          <w:sz w:val="24"/>
          <w:szCs w:val="24"/>
        </w:rPr>
      </w:pPr>
      <w:r>
        <w:rPr>
          <w:b/>
          <w:bCs/>
          <w:sz w:val="24"/>
          <w:szCs w:val="24"/>
        </w:rPr>
        <w:t>5.2.5</w:t>
      </w:r>
      <w:r>
        <w:rPr>
          <w:sz w:val="24"/>
          <w:szCs w:val="24"/>
        </w:rPr>
        <w:t xml:space="preserve"> 建筑室内外应设置足够的防护措施保障人身安全。公共走廊、楼梯、自动扶梯及房间等空间应采取防止人员攀爬和坠落的措施。室内外临空空间应设置防护栏杆，防护栏杆在符合现行标准《建筑栏杆技术规程》JGJ/T 470规定的情况下，其高度应不低于1.5m，且栏板缝隙应小于5mm。</w:t>
      </w:r>
    </w:p>
    <w:p w14:paraId="1B56E718">
      <w:pPr>
        <w:spacing w:before="120" w:after="120" w:line="312" w:lineRule="auto"/>
        <w:rPr>
          <w:sz w:val="24"/>
          <w:szCs w:val="24"/>
        </w:rPr>
      </w:pPr>
      <w:r>
        <w:rPr>
          <w:b/>
          <w:bCs/>
          <w:sz w:val="24"/>
          <w:szCs w:val="24"/>
        </w:rPr>
        <w:t>5.2.6</w:t>
      </w:r>
      <w:r>
        <w:rPr>
          <w:sz w:val="24"/>
          <w:szCs w:val="24"/>
        </w:rPr>
        <w:t xml:space="preserve"> 室内地面、楼面、天花、墙面的面板以及扶手、门窗框扇、装饰线条等表面材料的质感、手感及冷热感等应符合室内环境需求，并满足使用要求。室内地面、墙面、装饰物及缝隙等应便于清洁。材料宜采用轻质材料，如塑料、木材、纺织物、发泡材料等。</w:t>
      </w:r>
    </w:p>
    <w:p w14:paraId="6FEC3133">
      <w:pPr>
        <w:spacing w:before="120" w:after="120" w:line="312" w:lineRule="auto"/>
        <w:rPr>
          <w:sz w:val="24"/>
          <w:szCs w:val="24"/>
        </w:rPr>
      </w:pPr>
      <w:r>
        <w:rPr>
          <w:b/>
          <w:bCs/>
          <w:sz w:val="24"/>
          <w:szCs w:val="24"/>
        </w:rPr>
        <w:t>5.2.8</w:t>
      </w:r>
      <w:r>
        <w:rPr>
          <w:sz w:val="24"/>
          <w:szCs w:val="24"/>
        </w:rPr>
        <w:t xml:space="preserve"> 饰面材料的</w:t>
      </w:r>
      <w:r>
        <w:rPr>
          <w:sz w:val="24"/>
        </w:rPr>
        <w:t>装修图案、颜色、</w:t>
      </w:r>
      <w:r>
        <w:rPr>
          <w:sz w:val="24"/>
          <w:szCs w:val="24"/>
        </w:rPr>
        <w:t>光泽及</w:t>
      </w:r>
      <w:r>
        <w:rPr>
          <w:sz w:val="24"/>
        </w:rPr>
        <w:t>质感等应与室内整体效果和气氛营造，符合艺术、文化及建筑风格的要求，营造宽松舒适的居住环境、</w:t>
      </w:r>
      <w:r>
        <w:rPr>
          <w:sz w:val="24"/>
          <w:szCs w:val="24"/>
        </w:rPr>
        <w:t>专注与休闲兼具的办公环境及温暖积极的疗愈康复环境。</w:t>
      </w:r>
      <w:r>
        <w:rPr>
          <w:sz w:val="24"/>
        </w:rPr>
        <w:t>室内空间色彩设计应考虑空间功能需求及人群心理需求，保持色彩平衡并考虑自然光变化。可在入口、大堂等大于28㎡的常用空间内布置形状、颜色等与室内风格相协调的艺术品，以增加视觉复杂性与层次感。</w:t>
      </w:r>
    </w:p>
    <w:p w14:paraId="5328552E">
      <w:pPr>
        <w:spacing w:before="120" w:after="120" w:line="312" w:lineRule="auto"/>
        <w:rPr>
          <w:sz w:val="24"/>
        </w:rPr>
      </w:pPr>
      <w:r>
        <w:rPr>
          <w:b/>
          <w:bCs/>
          <w:sz w:val="24"/>
        </w:rPr>
        <w:t>5.2.9</w:t>
      </w:r>
      <w:r>
        <w:rPr>
          <w:sz w:val="24"/>
        </w:rPr>
        <w:t xml:space="preserve"> </w:t>
      </w:r>
      <w:r>
        <w:rPr>
          <w:sz w:val="24"/>
          <w:szCs w:val="24"/>
        </w:rPr>
        <w:t>饰面材料的颜色应一致、耐久、便于维护且易于清洁。所选装饰材料应具备易清洁性，易吸水材料应进行表面闭孔处理，防污染性能满足要求。医院等需频繁消毒的场所，饰面材料应具备防酸碱清洗性能。</w:t>
      </w:r>
    </w:p>
    <w:p w14:paraId="4D58B607">
      <w:pPr>
        <w:spacing w:before="120" w:after="120" w:line="312" w:lineRule="auto"/>
        <w:rPr>
          <w:sz w:val="24"/>
        </w:rPr>
      </w:pPr>
      <w:r>
        <w:rPr>
          <w:b/>
          <w:bCs/>
          <w:sz w:val="24"/>
        </w:rPr>
        <w:t>5.2.10</w:t>
      </w:r>
      <w:r>
        <w:rPr>
          <w:sz w:val="24"/>
        </w:rPr>
        <w:t xml:space="preserve"> 装修构造应充分考虑吸声、隔声、保温、防潮、密封等需求，确保安装和拆卸便捷，收口密封处理应符合密封性、美观性及手感要求。因安装插座、线管等开凿的坑槽应进行密封处理，且不得降低隔墙或楼板的隔声效果。</w:t>
      </w:r>
    </w:p>
    <w:p w14:paraId="03EC02C9">
      <w:pPr>
        <w:spacing w:before="120" w:after="120" w:line="312" w:lineRule="auto"/>
        <w:rPr>
          <w:b/>
          <w:bCs/>
          <w:sz w:val="24"/>
        </w:rPr>
      </w:pPr>
      <w:r>
        <w:rPr>
          <w:b/>
          <w:bCs/>
          <w:sz w:val="24"/>
          <w:szCs w:val="24"/>
        </w:rPr>
        <w:t>5.2.11</w:t>
      </w:r>
      <w:r>
        <w:rPr>
          <w:sz w:val="24"/>
          <w:szCs w:val="24"/>
        </w:rPr>
        <w:t xml:space="preserve"> 建筑室内装饰材料的有害物质限量应符合《室内装饰装修材料有害物质限量》GB 18580～GB18588等9项现行国家标准标准规定的的1/5以下，并满足《建筑材料放射性核素限量》GB6566及《建筑材料用工业废渣放射性物质限制标准》GB6763的要求，应采用低有害气体释放量及低天然放射性核素水平的建材，装修材料应进行处理以减少有害气体排放。装修施工期间不应在室内喷刷油漆或使用有挥发性的粘接剂。</w:t>
      </w:r>
    </w:p>
    <w:p w14:paraId="10337E30">
      <w:pPr>
        <w:spacing w:before="120" w:after="120" w:line="312" w:lineRule="auto"/>
        <w:rPr>
          <w:sz w:val="24"/>
        </w:rPr>
      </w:pPr>
      <w:r>
        <w:rPr>
          <w:b/>
          <w:bCs/>
          <w:sz w:val="24"/>
        </w:rPr>
        <w:t>5.2.12</w:t>
      </w:r>
      <w:r>
        <w:rPr>
          <w:sz w:val="24"/>
        </w:rPr>
        <w:t xml:space="preserve">  建筑室内不宜采用玻璃等易碎材料或金属材料。若采用此类材料，应满足以下规定：</w:t>
      </w:r>
    </w:p>
    <w:p w14:paraId="227CAE83">
      <w:pPr>
        <w:spacing w:before="120" w:after="120" w:line="312" w:lineRule="auto"/>
        <w:ind w:firstLine="482" w:firstLineChars="200"/>
        <w:rPr>
          <w:sz w:val="24"/>
        </w:rPr>
      </w:pPr>
      <w:r>
        <w:rPr>
          <w:b/>
          <w:bCs/>
          <w:sz w:val="24"/>
        </w:rPr>
        <w:t xml:space="preserve">1 </w:t>
      </w:r>
      <w:r>
        <w:rPr>
          <w:sz w:val="24"/>
        </w:rPr>
        <w:t>建筑公共空间可触及区域不宜采用易破损或冲击伤人的脆性材料，并应采取适宜措施防止使用人群被刺伤、划伤或夹手。</w:t>
      </w:r>
    </w:p>
    <w:p w14:paraId="243F9E79">
      <w:pPr>
        <w:spacing w:before="120" w:after="120" w:line="312" w:lineRule="auto"/>
        <w:ind w:firstLine="482" w:firstLineChars="200"/>
        <w:rPr>
          <w:sz w:val="24"/>
        </w:rPr>
      </w:pPr>
      <w:r>
        <w:rPr>
          <w:b/>
          <w:bCs/>
          <w:sz w:val="24"/>
        </w:rPr>
        <w:t>2</w:t>
      </w:r>
      <w:r>
        <w:rPr>
          <w:sz w:val="24"/>
        </w:rPr>
        <w:t xml:space="preserve"> 金属、玻璃等易伤人材料的边缘及尖角应进行包裹处理。金属切割边缘不应外露，接缝高低差应不大于0.3mm，且接缝处的金属切割边缘应进行细磨处理。金属棱边弧度半径应不小于2mm，拐角弧度半径应不小于5mm。</w:t>
      </w:r>
    </w:p>
    <w:p w14:paraId="37AF5B5A">
      <w:pPr>
        <w:spacing w:before="120" w:after="120" w:line="312" w:lineRule="auto"/>
        <w:ind w:firstLine="482" w:firstLineChars="200"/>
        <w:rPr>
          <w:sz w:val="24"/>
        </w:rPr>
      </w:pPr>
      <w:r>
        <w:rPr>
          <w:b/>
          <w:bCs/>
          <w:sz w:val="24"/>
        </w:rPr>
        <w:t xml:space="preserve">3 </w:t>
      </w:r>
      <w:r>
        <w:rPr>
          <w:sz w:val="24"/>
        </w:rPr>
        <w:t>玻璃的应用应符合现行行业标准《建筑玻璃应用技术规程》JGJ 113中有关人身安全的规定。玻璃角或边缘不宜外露，若外露，玻璃厚度应不小于8mm，且应进行机械磨边和倒棱、倒角处理，磨边宜细磨，倒棱宽度应不小于2mm，倒角半径应不小于5mm。</w:t>
      </w:r>
    </w:p>
    <w:p w14:paraId="5D506BE7">
      <w:pPr>
        <w:spacing w:before="120" w:after="120" w:line="312" w:lineRule="auto"/>
        <w:ind w:firstLine="482" w:firstLineChars="200"/>
        <w:rPr>
          <w:sz w:val="24"/>
        </w:rPr>
      </w:pPr>
      <w:r>
        <w:rPr>
          <w:b/>
          <w:bCs/>
          <w:sz w:val="24"/>
        </w:rPr>
        <w:t>4</w:t>
      </w:r>
      <w:r>
        <w:rPr>
          <w:sz w:val="24"/>
        </w:rPr>
        <w:t xml:space="preserve"> 不宜采用无框玻璃门。</w:t>
      </w:r>
    </w:p>
    <w:p w14:paraId="71485F72">
      <w:pPr>
        <w:spacing w:before="120" w:after="120" w:line="312" w:lineRule="auto"/>
        <w:rPr>
          <w:b/>
          <w:bCs/>
          <w:sz w:val="24"/>
        </w:rPr>
      </w:pPr>
      <w:r>
        <w:rPr>
          <w:b/>
          <w:bCs/>
          <w:sz w:val="24"/>
        </w:rPr>
        <w:t>5.2.13</w:t>
      </w:r>
      <w:r>
        <w:rPr>
          <w:sz w:val="24"/>
        </w:rPr>
        <w:t xml:space="preserve"> 空调风口及散流器的设置应满足空调制冷及风速控制的要求，小空间及普通空间的风口设置和散流器应进行评估</w:t>
      </w:r>
      <w:r>
        <w:rPr>
          <w:rFonts w:hint="eastAsia"/>
          <w:sz w:val="24"/>
        </w:rPr>
        <w:t>（避免冷风吹头）</w:t>
      </w:r>
      <w:r>
        <w:rPr>
          <w:sz w:val="24"/>
        </w:rPr>
        <w:t>，大空间及超大空间应进行气流组织模拟</w:t>
      </w:r>
      <w:r>
        <w:rPr>
          <w:rFonts w:hint="eastAsia"/>
          <w:sz w:val="24"/>
        </w:rPr>
        <w:t>（避免人所在区域过冷、过热，风速过高等）</w:t>
      </w:r>
      <w:r>
        <w:rPr>
          <w:sz w:val="24"/>
        </w:rPr>
        <w:t>。</w:t>
      </w:r>
    </w:p>
    <w:p w14:paraId="28DE94A8">
      <w:pPr>
        <w:spacing w:before="120" w:after="120" w:line="312" w:lineRule="auto"/>
        <w:rPr>
          <w:sz w:val="24"/>
        </w:rPr>
      </w:pPr>
      <w:r>
        <w:rPr>
          <w:b/>
          <w:bCs/>
          <w:sz w:val="24"/>
        </w:rPr>
        <w:t>5.2.14</w:t>
      </w:r>
      <w:r>
        <w:rPr>
          <w:sz w:val="24"/>
        </w:rPr>
        <w:t xml:space="preserve"> 照明设计应满足室内功能及场景氛围等需求，灯具应满足防眩光要求。</w:t>
      </w:r>
    </w:p>
    <w:p w14:paraId="7DF9A72A">
      <w:pPr>
        <w:spacing w:before="120" w:after="120" w:line="312" w:lineRule="auto"/>
        <w:rPr>
          <w:sz w:val="24"/>
        </w:rPr>
      </w:pPr>
      <w:r>
        <w:rPr>
          <w:b/>
          <w:bCs/>
          <w:sz w:val="24"/>
        </w:rPr>
        <w:t>5.2.15</w:t>
      </w:r>
      <w:r>
        <w:rPr>
          <w:sz w:val="24"/>
        </w:rPr>
        <w:t xml:space="preserve"> 老年人日常活动区域的地面及楼梯应进行防滑处理，并配备栏杆扶手。</w:t>
      </w:r>
      <w:r>
        <w:rPr>
          <w:sz w:val="24"/>
          <w:szCs w:val="24"/>
        </w:rPr>
        <w:t>起居室及卧室不应采用蓄热材料（石材、金属、瓷砖等）作为饰面或线条。</w:t>
      </w:r>
      <w:r>
        <w:rPr>
          <w:sz w:val="24"/>
        </w:rPr>
        <w:t>老年人常驻房间的光线应柔和，色彩应温馨。</w:t>
      </w:r>
    </w:p>
    <w:p w14:paraId="6D8EEC4E">
      <w:pPr>
        <w:spacing w:before="120" w:after="120" w:line="312" w:lineRule="auto"/>
        <w:rPr>
          <w:sz w:val="24"/>
        </w:rPr>
      </w:pPr>
      <w:r>
        <w:rPr>
          <w:b/>
          <w:bCs/>
          <w:sz w:val="24"/>
        </w:rPr>
        <w:t>5.2.16</w:t>
      </w:r>
      <w:r>
        <w:rPr>
          <w:sz w:val="24"/>
        </w:rPr>
        <w:t xml:space="preserve"> 婴幼儿房间的照明应避免眩光，灯光色彩宜趋于鲜艳，照度应适中。</w:t>
      </w:r>
    </w:p>
    <w:p w14:paraId="1F0C601A">
      <w:pPr>
        <w:spacing w:before="120" w:after="120" w:line="312" w:lineRule="auto"/>
        <w:rPr>
          <w:sz w:val="24"/>
        </w:rPr>
      </w:pPr>
      <w:r>
        <w:rPr>
          <w:b/>
          <w:bCs/>
          <w:sz w:val="24"/>
        </w:rPr>
        <w:t>5.2.17</w:t>
      </w:r>
      <w:r>
        <w:rPr>
          <w:sz w:val="24"/>
        </w:rPr>
        <w:t xml:space="preserve"> 儿童活动房间及空间应避免缝隙卡手及触电危险。</w:t>
      </w:r>
      <w:r>
        <w:rPr>
          <w:sz w:val="24"/>
          <w:szCs w:val="24"/>
        </w:rPr>
        <w:t>孕妇活动房间地面应进行防滑处理，不宜设置台阶或摆设易倾倒物品，环境应保持安静。</w:t>
      </w:r>
    </w:p>
    <w:p w14:paraId="38CF9159">
      <w:pPr>
        <w:spacing w:before="120" w:after="120" w:line="312" w:lineRule="auto"/>
        <w:rPr>
          <w:sz w:val="24"/>
        </w:rPr>
      </w:pPr>
      <w:r>
        <w:rPr>
          <w:b/>
          <w:bCs/>
          <w:sz w:val="24"/>
        </w:rPr>
        <w:t>5.2.18</w:t>
      </w:r>
      <w:r>
        <w:rPr>
          <w:sz w:val="24"/>
        </w:rPr>
        <w:t xml:space="preserve"> 装饰面平整度、缝隙宽度、高低差及平整度等应达到精度要求。装饰条的直线度，装饰交界及收口处理等应满足设计及美观要求。插座面板的位置精度及整齐排布应满足要求。</w:t>
      </w:r>
    </w:p>
    <w:p w14:paraId="0E07DD40">
      <w:pPr>
        <w:spacing w:before="120" w:after="120" w:line="312" w:lineRule="auto"/>
        <w:rPr>
          <w:b/>
          <w:bCs/>
          <w:sz w:val="24"/>
        </w:rPr>
      </w:pPr>
      <w:r>
        <w:rPr>
          <w:b/>
          <w:bCs/>
          <w:sz w:val="24"/>
        </w:rPr>
        <w:t>5.2.19</w:t>
      </w:r>
      <w:r>
        <w:rPr>
          <w:sz w:val="24"/>
        </w:rPr>
        <w:t xml:space="preserve"> 可利用投影、显示屏等设备与室内装饰装修相结合，形成光影场景，营造氛围，形成有利于身心健康的视觉环境。</w:t>
      </w:r>
    </w:p>
    <w:p w14:paraId="76651A4F">
      <w:pPr>
        <w:spacing w:before="120" w:after="120" w:line="312" w:lineRule="auto"/>
        <w:rPr>
          <w:sz w:val="24"/>
        </w:rPr>
      </w:pPr>
      <w:r>
        <w:rPr>
          <w:b/>
          <w:bCs/>
          <w:sz w:val="24"/>
        </w:rPr>
        <w:t>5.2.20</w:t>
      </w:r>
      <w:r>
        <w:rPr>
          <w:sz w:val="24"/>
        </w:rPr>
        <w:t xml:space="preserve"> 住宅建筑套内空间设计应综合考虑功能空间的复合利用，可将餐厅、厨房及客厅进行一体化设计，形成家庭融合社交空间。套内宜预留全屋净水系统、扫地机器人、拖地机及洗碗机等新型家电安装空间，并预留相应的给排水条件。</w:t>
      </w:r>
    </w:p>
    <w:p w14:paraId="1FAF3DAA">
      <w:pPr>
        <w:spacing w:before="120" w:after="120" w:line="312" w:lineRule="auto"/>
        <w:rPr>
          <w:sz w:val="24"/>
        </w:rPr>
      </w:pPr>
      <w:r>
        <w:rPr>
          <w:b/>
          <w:bCs/>
          <w:sz w:val="24"/>
        </w:rPr>
        <w:t>5.2.22</w:t>
      </w:r>
      <w:r>
        <w:rPr>
          <w:sz w:val="24"/>
        </w:rPr>
        <w:t xml:space="preserve"> 合理规划空间布局，通过光线强弱变化、背景音效或空间尺度调整及分隔，实现空间的私密性。可结合实体墙、家具、屏风及陈设品等实现空间分割。</w:t>
      </w:r>
    </w:p>
    <w:p w14:paraId="20DD6B11">
      <w:pPr>
        <w:spacing w:before="120" w:after="120" w:line="312" w:lineRule="auto"/>
        <w:rPr>
          <w:sz w:val="24"/>
        </w:rPr>
      </w:pPr>
      <w:r>
        <w:rPr>
          <w:b/>
          <w:bCs/>
          <w:sz w:val="24"/>
        </w:rPr>
        <w:t>5.2.23</w:t>
      </w:r>
      <w:r>
        <w:rPr>
          <w:sz w:val="24"/>
        </w:rPr>
        <w:t xml:space="preserve"> 合理设计的视觉引导系统，宜满足下列要求：</w:t>
      </w:r>
    </w:p>
    <w:p w14:paraId="69612984">
      <w:pPr>
        <w:spacing w:before="120" w:after="120" w:line="312" w:lineRule="auto"/>
        <w:ind w:firstLine="482" w:firstLineChars="200"/>
        <w:rPr>
          <w:sz w:val="24"/>
        </w:rPr>
      </w:pPr>
      <w:r>
        <w:rPr>
          <w:b/>
          <w:bCs/>
          <w:sz w:val="24"/>
        </w:rPr>
        <w:t>1</w:t>
      </w:r>
      <w:r>
        <w:rPr>
          <w:sz w:val="24"/>
        </w:rPr>
        <w:t xml:space="preserve"> 交通场所</w:t>
      </w:r>
      <w:r>
        <w:rPr>
          <w:sz w:val="24"/>
          <w:szCs w:val="24"/>
        </w:rPr>
        <w:t>的视觉引导系统应</w:t>
      </w:r>
      <w:r>
        <w:rPr>
          <w:sz w:val="24"/>
        </w:rPr>
        <w:t>准确、简捷、规范地传递公共交通信息，宜体现出地域文化及城市意象。</w:t>
      </w:r>
    </w:p>
    <w:p w14:paraId="4F828B96">
      <w:pPr>
        <w:spacing w:before="120" w:after="120" w:line="312" w:lineRule="auto"/>
        <w:ind w:firstLine="482" w:firstLineChars="200"/>
        <w:rPr>
          <w:sz w:val="24"/>
        </w:rPr>
      </w:pPr>
      <w:r>
        <w:rPr>
          <w:b/>
          <w:bCs/>
          <w:sz w:val="24"/>
        </w:rPr>
        <w:t>2</w:t>
      </w:r>
      <w:r>
        <w:rPr>
          <w:sz w:val="24"/>
        </w:rPr>
        <w:t xml:space="preserve"> 儿童医院视觉导视系统应考虑儿童身心特点，选用环保安全材料，设计应符合简易导向性及趣味性原则。</w:t>
      </w:r>
    </w:p>
    <w:p w14:paraId="5E31E324">
      <w:pPr>
        <w:spacing w:before="120" w:after="120" w:line="312" w:lineRule="auto"/>
        <w:rPr>
          <w:sz w:val="24"/>
        </w:rPr>
      </w:pPr>
      <w:r>
        <w:rPr>
          <w:b/>
          <w:bCs/>
          <w:sz w:val="24"/>
        </w:rPr>
        <w:t>5.2.24</w:t>
      </w:r>
      <w:r>
        <w:rPr>
          <w:sz w:val="24"/>
        </w:rPr>
        <w:t xml:space="preserve"> 对于电磁辐射环境超标的区域，房间周围宜采用电磁屏蔽材料（如铝箔等）进行必要的屏蔽，以满足使用要求。</w:t>
      </w:r>
    </w:p>
    <w:p w14:paraId="3AE3BA43">
      <w:pPr>
        <w:spacing w:before="120" w:after="120" w:line="312" w:lineRule="auto"/>
        <w:ind w:firstLine="480" w:firstLineChars="200"/>
        <w:rPr>
          <w:sz w:val="24"/>
        </w:rPr>
      </w:pPr>
    </w:p>
    <w:p w14:paraId="4D6D828B">
      <w:pPr>
        <w:spacing w:before="120" w:after="120" w:line="312" w:lineRule="auto"/>
        <w:ind w:firstLine="482" w:firstLineChars="200"/>
        <w:jc w:val="center"/>
        <w:outlineLvl w:val="1"/>
        <w:rPr>
          <w:b/>
          <w:bCs/>
          <w:sz w:val="24"/>
          <w:szCs w:val="24"/>
        </w:rPr>
      </w:pPr>
      <w:bookmarkStart w:id="213" w:name="_Toc7137"/>
      <w:bookmarkStart w:id="214" w:name="_Toc1089"/>
      <w:bookmarkStart w:id="215" w:name="_Toc19715"/>
      <w:bookmarkStart w:id="216" w:name="_Toc7096"/>
      <w:bookmarkStart w:id="217" w:name="_Toc11514"/>
      <w:bookmarkStart w:id="218" w:name="_Toc809"/>
      <w:bookmarkStart w:id="219" w:name="_Toc201158903"/>
      <w:bookmarkStart w:id="220" w:name="_Toc17632"/>
      <w:bookmarkStart w:id="221" w:name="_Toc17585"/>
      <w:bookmarkStart w:id="222" w:name="_Toc19005"/>
      <w:bookmarkStart w:id="223" w:name="_Toc7376"/>
      <w:r>
        <w:rPr>
          <w:b/>
          <w:bCs/>
          <w:sz w:val="24"/>
          <w:szCs w:val="24"/>
        </w:rPr>
        <w:t>5.3 建筑室内环控设备系统</w:t>
      </w:r>
      <w:bookmarkEnd w:id="213"/>
      <w:bookmarkEnd w:id="214"/>
      <w:bookmarkEnd w:id="215"/>
      <w:bookmarkEnd w:id="216"/>
      <w:bookmarkEnd w:id="217"/>
      <w:bookmarkEnd w:id="218"/>
      <w:bookmarkEnd w:id="219"/>
      <w:bookmarkEnd w:id="220"/>
      <w:bookmarkEnd w:id="221"/>
      <w:bookmarkEnd w:id="222"/>
      <w:bookmarkEnd w:id="223"/>
    </w:p>
    <w:p w14:paraId="7D35DF0A">
      <w:pPr>
        <w:spacing w:before="120" w:after="120" w:line="312" w:lineRule="auto"/>
        <w:rPr>
          <w:sz w:val="24"/>
          <w:szCs w:val="24"/>
        </w:rPr>
      </w:pPr>
      <w:r>
        <w:rPr>
          <w:b/>
          <w:bCs/>
          <w:sz w:val="24"/>
          <w:szCs w:val="24"/>
        </w:rPr>
        <w:t>5.3.1</w:t>
      </w:r>
      <w:r>
        <w:rPr>
          <w:sz w:val="24"/>
          <w:szCs w:val="24"/>
        </w:rPr>
        <w:t xml:space="preserve"> 应针对广东省间歇性空调和自然通风使用场景特点，从合理划分空调区域、优化组织气流等角度进行热环境设计，配备适宜的空调末端设备，并与室内装修进行协同设计。</w:t>
      </w:r>
    </w:p>
    <w:p w14:paraId="16BA8CF4">
      <w:pPr>
        <w:spacing w:before="120" w:after="120" w:line="312" w:lineRule="auto"/>
        <w:rPr>
          <w:b/>
          <w:bCs/>
          <w:sz w:val="24"/>
        </w:rPr>
      </w:pPr>
      <w:r>
        <w:rPr>
          <w:b/>
          <w:bCs/>
          <w:sz w:val="24"/>
          <w:szCs w:val="24"/>
        </w:rPr>
        <w:t>5.3.2</w:t>
      </w:r>
      <w:r>
        <w:rPr>
          <w:sz w:val="24"/>
          <w:szCs w:val="24"/>
        </w:rPr>
        <w:t xml:space="preserve"> 通风空调系统应根据建筑室内空间的使用场景、温度和风速的耦合效应，合理设置室内温度、湿度及风速，并实现室内温度的动态调节。全空气系统宜在空调区内设置温控调节装置。</w:t>
      </w:r>
    </w:p>
    <w:p w14:paraId="5EBF343A">
      <w:pPr>
        <w:spacing w:before="120" w:after="120" w:line="312" w:lineRule="auto"/>
        <w:rPr>
          <w:b/>
          <w:bCs/>
          <w:sz w:val="24"/>
        </w:rPr>
      </w:pPr>
      <w:r>
        <w:rPr>
          <w:b/>
          <w:bCs/>
          <w:sz w:val="24"/>
          <w:szCs w:val="24"/>
        </w:rPr>
        <w:t>5.3.3</w:t>
      </w:r>
      <w:r>
        <w:rPr>
          <w:sz w:val="24"/>
          <w:szCs w:val="24"/>
        </w:rPr>
        <w:t xml:space="preserve"> 应根据建筑空间的不同尺度及所处位置合理设计温湿度、送风量及空调风口布置；与室外不同联系距离的空间，其温湿度要求宜按适当梯度设置。超大空间和大空间应采用变风量末端送冷风，风机房送风及回风管道应安装具有足够消声量的消声装置。</w:t>
      </w:r>
    </w:p>
    <w:p w14:paraId="0433E6F3">
      <w:pPr>
        <w:spacing w:before="120" w:after="120" w:line="312" w:lineRule="auto"/>
        <w:rPr>
          <w:b/>
          <w:bCs/>
          <w:sz w:val="24"/>
        </w:rPr>
      </w:pPr>
      <w:r>
        <w:rPr>
          <w:b/>
          <w:bCs/>
          <w:sz w:val="24"/>
          <w:szCs w:val="24"/>
        </w:rPr>
        <w:t xml:space="preserve">5.3.4 </w:t>
      </w:r>
      <w:r>
        <w:rPr>
          <w:sz w:val="24"/>
          <w:szCs w:val="24"/>
        </w:rPr>
        <w:t>应合理设计送风气流组织，避免气流直吹头部。空调区的气流组织设计应根据温湿度参数、允许风速、噪声标准、空气质量、温度梯度及空气分布特性指标(ADPI)等要求，结合内部装修、工艺或家具布置确定。复杂空间空调区的气流组织设计宜采用流体动力学(CFD)数值模拟计算。</w:t>
      </w:r>
    </w:p>
    <w:p w14:paraId="7F750A6B">
      <w:pPr>
        <w:spacing w:before="120" w:after="120" w:line="312" w:lineRule="auto"/>
        <w:rPr>
          <w:sz w:val="24"/>
          <w:szCs w:val="24"/>
        </w:rPr>
      </w:pPr>
      <w:r>
        <w:rPr>
          <w:b/>
          <w:sz w:val="24"/>
        </w:rPr>
        <w:t xml:space="preserve">5.3.5 </w:t>
      </w:r>
      <w:r>
        <w:rPr>
          <w:sz w:val="24"/>
          <w:szCs w:val="24"/>
        </w:rPr>
        <w:t>空调末端设备的设计应符合下列规定：</w:t>
      </w:r>
    </w:p>
    <w:p w14:paraId="481DA0E2">
      <w:pPr>
        <w:spacing w:before="120" w:after="120" w:line="312" w:lineRule="auto"/>
        <w:ind w:firstLine="482" w:firstLineChars="200"/>
        <w:rPr>
          <w:sz w:val="24"/>
          <w:szCs w:val="24"/>
        </w:rPr>
      </w:pPr>
      <w:r>
        <w:rPr>
          <w:b/>
          <w:bCs/>
          <w:sz w:val="24"/>
          <w:szCs w:val="24"/>
        </w:rPr>
        <w:t>1</w:t>
      </w:r>
      <w:r>
        <w:rPr>
          <w:sz w:val="24"/>
          <w:szCs w:val="24"/>
        </w:rPr>
        <w:t xml:space="preserve"> 空调末端设备的安装位置及风口布置应有利于室内气流分布，并预留设备维护检修空间；</w:t>
      </w:r>
    </w:p>
    <w:p w14:paraId="33B1DB3D">
      <w:pPr>
        <w:spacing w:before="120" w:after="120" w:line="312" w:lineRule="auto"/>
        <w:ind w:firstLine="482" w:firstLineChars="200"/>
        <w:rPr>
          <w:sz w:val="24"/>
          <w:szCs w:val="24"/>
        </w:rPr>
      </w:pPr>
      <w:bookmarkStart w:id="224" w:name="_Toc16907"/>
      <w:bookmarkStart w:id="225" w:name="_Toc31064"/>
      <w:r>
        <w:rPr>
          <w:b/>
          <w:bCs/>
          <w:sz w:val="24"/>
          <w:szCs w:val="24"/>
        </w:rPr>
        <w:t>2</w:t>
      </w:r>
      <w:r>
        <w:rPr>
          <w:sz w:val="24"/>
          <w:szCs w:val="24"/>
        </w:rPr>
        <w:t xml:space="preserve"> 主要功能房间应配备独立控制的热环境调节装置；</w:t>
      </w:r>
      <w:bookmarkEnd w:id="224"/>
      <w:bookmarkEnd w:id="225"/>
    </w:p>
    <w:p w14:paraId="49348488">
      <w:pPr>
        <w:spacing w:before="120" w:after="120" w:line="312" w:lineRule="auto"/>
        <w:ind w:firstLine="482" w:firstLineChars="200"/>
        <w:rPr>
          <w:sz w:val="24"/>
          <w:szCs w:val="24"/>
        </w:rPr>
      </w:pPr>
      <w:r>
        <w:rPr>
          <w:b/>
          <w:bCs/>
          <w:sz w:val="24"/>
          <w:szCs w:val="24"/>
        </w:rPr>
        <w:t>3</w:t>
      </w:r>
      <w:r>
        <w:rPr>
          <w:sz w:val="24"/>
          <w:szCs w:val="24"/>
        </w:rPr>
        <w:t xml:space="preserve"> 较大办公室宜选用小型空调末端设备或局部可调风口，单台空调末端设备或局部可调风口宜独立控制，且支持个性化、智能化调节，并可根据个人习惯预设或人工智能调节；可在常规空调风系统形式下增设工位送风或工位风扇等进行微调节。</w:t>
      </w:r>
    </w:p>
    <w:p w14:paraId="7ECD3948">
      <w:pPr>
        <w:spacing w:before="120" w:after="120" w:line="312" w:lineRule="auto"/>
        <w:ind w:firstLine="482" w:firstLineChars="200"/>
        <w:rPr>
          <w:sz w:val="24"/>
          <w:szCs w:val="24"/>
        </w:rPr>
      </w:pPr>
      <w:r>
        <w:rPr>
          <w:b/>
          <w:bCs/>
          <w:sz w:val="24"/>
          <w:szCs w:val="24"/>
        </w:rPr>
        <w:t>4</w:t>
      </w:r>
      <w:r>
        <w:rPr>
          <w:sz w:val="24"/>
          <w:szCs w:val="24"/>
        </w:rPr>
        <w:t xml:space="preserve"> 空调风口形式设计应避免冷风以高于0.5m/s的风速直接吹向人体。</w:t>
      </w:r>
    </w:p>
    <w:p w14:paraId="221B843B">
      <w:pPr>
        <w:spacing w:before="120" w:after="120" w:line="312" w:lineRule="auto"/>
        <w:rPr>
          <w:bCs/>
          <w:sz w:val="24"/>
        </w:rPr>
      </w:pPr>
      <w:bookmarkStart w:id="226" w:name="_Hlk45802295"/>
      <w:r>
        <w:rPr>
          <w:b/>
          <w:sz w:val="24"/>
        </w:rPr>
        <w:t>5.3.</w:t>
      </w:r>
      <w:bookmarkEnd w:id="226"/>
      <w:r>
        <w:rPr>
          <w:b/>
          <w:sz w:val="24"/>
        </w:rPr>
        <w:t xml:space="preserve">6 </w:t>
      </w:r>
      <w:r>
        <w:rPr>
          <w:bCs/>
          <w:sz w:val="24"/>
        </w:rPr>
        <w:t>对于开敞、半开敞且人员停留时间较短的空间，宜采取以下技术措施改善热舒适性：</w:t>
      </w:r>
    </w:p>
    <w:p w14:paraId="14AC95B1">
      <w:pPr>
        <w:spacing w:before="120" w:after="120" w:line="312" w:lineRule="auto"/>
        <w:ind w:firstLine="482" w:firstLineChars="200"/>
        <w:rPr>
          <w:bCs/>
          <w:sz w:val="24"/>
        </w:rPr>
      </w:pPr>
      <w:r>
        <w:rPr>
          <w:b/>
          <w:sz w:val="24"/>
        </w:rPr>
        <w:t>1</w:t>
      </w:r>
      <w:r>
        <w:rPr>
          <w:bCs/>
          <w:sz w:val="24"/>
        </w:rPr>
        <w:t xml:space="preserve"> 利用自然通风与机械通风技术相结合，形成适宜的气流风速； </w:t>
      </w:r>
    </w:p>
    <w:p w14:paraId="3BF75B00">
      <w:pPr>
        <w:spacing w:before="120" w:after="120" w:line="312" w:lineRule="auto"/>
        <w:ind w:firstLine="482" w:firstLineChars="200"/>
        <w:rPr>
          <w:bCs/>
          <w:sz w:val="24"/>
        </w:rPr>
      </w:pPr>
      <w:r>
        <w:rPr>
          <w:b/>
          <w:sz w:val="24"/>
        </w:rPr>
        <w:t>2</w:t>
      </w:r>
      <w:r>
        <w:rPr>
          <w:bCs/>
          <w:sz w:val="24"/>
        </w:rPr>
        <w:t xml:space="preserve"> 可采用热回收技术，回收排风冷量并送至开敞空间； </w:t>
      </w:r>
    </w:p>
    <w:p w14:paraId="1B6AF594">
      <w:pPr>
        <w:spacing w:before="120" w:after="120" w:line="312" w:lineRule="auto"/>
        <w:ind w:firstLine="482" w:firstLineChars="200"/>
        <w:rPr>
          <w:bCs/>
          <w:sz w:val="24"/>
        </w:rPr>
      </w:pPr>
      <w:r>
        <w:rPr>
          <w:b/>
          <w:sz w:val="24"/>
        </w:rPr>
        <w:t>3</w:t>
      </w:r>
      <w:r>
        <w:rPr>
          <w:bCs/>
          <w:sz w:val="24"/>
        </w:rPr>
        <w:t xml:space="preserve"> 选用合适的屋顶材质，减少太阳辐射热量； </w:t>
      </w:r>
    </w:p>
    <w:p w14:paraId="715BFBCA">
      <w:pPr>
        <w:spacing w:before="120" w:after="120" w:line="312" w:lineRule="auto"/>
        <w:ind w:firstLine="482" w:firstLineChars="200"/>
        <w:rPr>
          <w:bCs/>
          <w:sz w:val="24"/>
        </w:rPr>
      </w:pPr>
      <w:r>
        <w:rPr>
          <w:b/>
          <w:sz w:val="24"/>
        </w:rPr>
        <w:t>4</w:t>
      </w:r>
      <w:r>
        <w:rPr>
          <w:bCs/>
          <w:sz w:val="24"/>
        </w:rPr>
        <w:t xml:space="preserve"> 屋面可采用降温措施，降低对室内的热辐射。</w:t>
      </w:r>
    </w:p>
    <w:p w14:paraId="1B7CCBE7">
      <w:pPr>
        <w:spacing w:before="120" w:after="120" w:line="312" w:lineRule="auto"/>
        <w:rPr>
          <w:b/>
          <w:bCs/>
          <w:sz w:val="24"/>
        </w:rPr>
      </w:pPr>
      <w:r>
        <w:rPr>
          <w:b/>
          <w:bCs/>
          <w:sz w:val="24"/>
          <w:szCs w:val="24"/>
        </w:rPr>
        <w:t>5.3.7</w:t>
      </w:r>
      <w:r>
        <w:rPr>
          <w:sz w:val="24"/>
          <w:szCs w:val="24"/>
        </w:rPr>
        <w:t xml:space="preserve"> 对于人员密集区或空气质量要求较高的场所，空调系统应设置空气净化装置，其类型应综合考虑人员密度、环境颗粒物浓度及净化装置性能等，宜配置负离子发生器。</w:t>
      </w:r>
    </w:p>
    <w:p w14:paraId="2F7FC998">
      <w:pPr>
        <w:spacing w:before="120" w:after="120" w:line="312" w:lineRule="auto"/>
        <w:rPr>
          <w:sz w:val="24"/>
          <w:szCs w:val="24"/>
        </w:rPr>
      </w:pPr>
      <w:r>
        <w:rPr>
          <w:b/>
          <w:bCs/>
          <w:sz w:val="24"/>
          <w:szCs w:val="24"/>
        </w:rPr>
        <w:t>5.3.8</w:t>
      </w:r>
      <w:r>
        <w:rPr>
          <w:sz w:val="24"/>
          <w:szCs w:val="24"/>
        </w:rPr>
        <w:t>空气净化装置的设置应符合以下</w:t>
      </w:r>
      <w:r>
        <w:rPr>
          <w:rFonts w:hint="eastAsia"/>
          <w:sz w:val="24"/>
          <w:szCs w:val="24"/>
        </w:rPr>
        <w:t>要求</w:t>
      </w:r>
      <w:r>
        <w:rPr>
          <w:sz w:val="24"/>
          <w:szCs w:val="24"/>
        </w:rPr>
        <w:t>：</w:t>
      </w:r>
    </w:p>
    <w:p w14:paraId="54659C8A">
      <w:pPr>
        <w:spacing w:before="120" w:after="120" w:line="312" w:lineRule="auto"/>
        <w:ind w:firstLine="482" w:firstLineChars="200"/>
        <w:rPr>
          <w:sz w:val="24"/>
          <w:szCs w:val="24"/>
        </w:rPr>
      </w:pPr>
      <w:bookmarkStart w:id="227" w:name="_Toc3245"/>
      <w:bookmarkStart w:id="228" w:name="_Toc10495"/>
      <w:r>
        <w:rPr>
          <w:b/>
          <w:bCs/>
          <w:sz w:val="24"/>
          <w:szCs w:val="24"/>
        </w:rPr>
        <w:t>1</w:t>
      </w:r>
      <w:r>
        <w:rPr>
          <w:sz w:val="24"/>
          <w:szCs w:val="24"/>
        </w:rPr>
        <w:t xml:space="preserve"> 空气净化装置在运行过程中不应产生新的污染物；</w:t>
      </w:r>
      <w:bookmarkEnd w:id="227"/>
      <w:bookmarkEnd w:id="228"/>
    </w:p>
    <w:p w14:paraId="59334F8B">
      <w:pPr>
        <w:spacing w:before="120" w:after="120" w:line="312" w:lineRule="auto"/>
        <w:ind w:firstLine="482" w:firstLineChars="200"/>
        <w:rPr>
          <w:sz w:val="24"/>
          <w:szCs w:val="24"/>
        </w:rPr>
      </w:pPr>
      <w:r>
        <w:rPr>
          <w:b/>
          <w:bCs/>
          <w:sz w:val="24"/>
          <w:szCs w:val="24"/>
        </w:rPr>
        <w:t>2</w:t>
      </w:r>
      <w:r>
        <w:rPr>
          <w:sz w:val="24"/>
          <w:szCs w:val="24"/>
        </w:rPr>
        <w:t xml:space="preserve"> 空气净化装置宜设置在空气热湿处理设备的进风口处，净化要求高时可在出风口处设置二级净化装置；</w:t>
      </w:r>
    </w:p>
    <w:p w14:paraId="207F798A">
      <w:pPr>
        <w:spacing w:before="120" w:after="120" w:line="312" w:lineRule="auto"/>
        <w:ind w:firstLine="482" w:firstLineChars="200"/>
        <w:rPr>
          <w:sz w:val="24"/>
          <w:szCs w:val="24"/>
        </w:rPr>
      </w:pPr>
      <w:r>
        <w:rPr>
          <w:b/>
          <w:bCs/>
          <w:sz w:val="24"/>
          <w:szCs w:val="24"/>
        </w:rPr>
        <w:t>3</w:t>
      </w:r>
      <w:r>
        <w:rPr>
          <w:sz w:val="24"/>
          <w:szCs w:val="24"/>
        </w:rPr>
        <w:t xml:space="preserve"> 应设置故常报警措施并预留检查口；</w:t>
      </w:r>
    </w:p>
    <w:p w14:paraId="55666824">
      <w:pPr>
        <w:spacing w:before="120" w:after="120" w:line="312" w:lineRule="auto"/>
        <w:ind w:firstLine="482" w:firstLineChars="200"/>
        <w:rPr>
          <w:sz w:val="24"/>
          <w:szCs w:val="24"/>
        </w:rPr>
      </w:pPr>
      <w:r>
        <w:rPr>
          <w:b/>
          <w:bCs/>
          <w:sz w:val="24"/>
          <w:szCs w:val="24"/>
        </w:rPr>
        <w:t>4</w:t>
      </w:r>
      <w:r>
        <w:rPr>
          <w:sz w:val="24"/>
          <w:szCs w:val="24"/>
        </w:rPr>
        <w:t xml:space="preserve"> 高压静电空气净化装置应与风机连锁启停。</w:t>
      </w:r>
    </w:p>
    <w:p w14:paraId="563EA467">
      <w:pPr>
        <w:spacing w:before="120" w:after="120" w:line="312" w:lineRule="auto"/>
        <w:rPr>
          <w:sz w:val="24"/>
          <w:szCs w:val="24"/>
        </w:rPr>
      </w:pPr>
      <w:r>
        <w:rPr>
          <w:b/>
          <w:bCs/>
          <w:sz w:val="24"/>
          <w:szCs w:val="24"/>
        </w:rPr>
        <w:t xml:space="preserve">5.3.9 </w:t>
      </w:r>
      <w:r>
        <w:rPr>
          <w:sz w:val="24"/>
          <w:szCs w:val="24"/>
        </w:rPr>
        <w:t>新风系统设计应符合以下</w:t>
      </w:r>
      <w:r>
        <w:rPr>
          <w:rFonts w:hint="eastAsia"/>
          <w:sz w:val="24"/>
          <w:szCs w:val="24"/>
        </w:rPr>
        <w:t>要求</w:t>
      </w:r>
      <w:r>
        <w:rPr>
          <w:sz w:val="24"/>
          <w:szCs w:val="24"/>
        </w:rPr>
        <w:t>：</w:t>
      </w:r>
    </w:p>
    <w:p w14:paraId="3C35DB89">
      <w:pPr>
        <w:spacing w:before="120" w:after="120" w:line="312" w:lineRule="auto"/>
        <w:ind w:firstLine="482" w:firstLineChars="200"/>
        <w:rPr>
          <w:sz w:val="24"/>
          <w:szCs w:val="24"/>
        </w:rPr>
      </w:pPr>
      <w:r>
        <w:rPr>
          <w:b/>
          <w:bCs/>
          <w:sz w:val="24"/>
          <w:szCs w:val="24"/>
        </w:rPr>
        <w:t>1</w:t>
      </w:r>
      <w:r>
        <w:rPr>
          <w:sz w:val="24"/>
          <w:szCs w:val="24"/>
        </w:rPr>
        <w:t xml:space="preserve"> 设计最小新风量应符合现行国家标准《民用建筑供暖通风与空气调节设计规范》GB50736的有关规定；</w:t>
      </w:r>
    </w:p>
    <w:p w14:paraId="7933E19F">
      <w:pPr>
        <w:spacing w:before="120" w:after="120" w:line="312" w:lineRule="auto"/>
        <w:ind w:firstLine="482" w:firstLineChars="200"/>
        <w:rPr>
          <w:sz w:val="24"/>
          <w:szCs w:val="24"/>
        </w:rPr>
      </w:pPr>
      <w:bookmarkStart w:id="229" w:name="_Toc32438"/>
      <w:bookmarkStart w:id="230" w:name="_Toc2501"/>
      <w:r>
        <w:rPr>
          <w:b/>
          <w:bCs/>
          <w:sz w:val="24"/>
          <w:szCs w:val="24"/>
        </w:rPr>
        <w:t>2</w:t>
      </w:r>
      <w:r>
        <w:rPr>
          <w:sz w:val="24"/>
          <w:szCs w:val="24"/>
        </w:rPr>
        <w:t>人员密度随着时间变化较大的场所，宜采用变新风量设计；</w:t>
      </w:r>
      <w:bookmarkEnd w:id="229"/>
      <w:bookmarkEnd w:id="230"/>
    </w:p>
    <w:p w14:paraId="56637C35">
      <w:pPr>
        <w:spacing w:before="120" w:after="120" w:line="312" w:lineRule="auto"/>
        <w:ind w:firstLine="482" w:firstLineChars="200"/>
        <w:rPr>
          <w:sz w:val="24"/>
          <w:szCs w:val="24"/>
        </w:rPr>
      </w:pPr>
      <w:r>
        <w:rPr>
          <w:b/>
          <w:bCs/>
          <w:sz w:val="24"/>
          <w:szCs w:val="24"/>
        </w:rPr>
        <w:t>3</w:t>
      </w:r>
      <w:r>
        <w:rPr>
          <w:sz w:val="24"/>
          <w:szCs w:val="24"/>
        </w:rPr>
        <w:t xml:space="preserve"> 建筑内区房间较多的场所，宜采用变新风量设计，过渡季节可通过加大新风量运行，消除室内余热。</w:t>
      </w:r>
    </w:p>
    <w:p w14:paraId="29EF140B">
      <w:pPr>
        <w:spacing w:before="120" w:after="120" w:line="312" w:lineRule="auto"/>
        <w:rPr>
          <w:sz w:val="24"/>
          <w:szCs w:val="24"/>
        </w:rPr>
      </w:pPr>
      <w:r>
        <w:rPr>
          <w:b/>
          <w:bCs/>
          <w:sz w:val="24"/>
          <w:szCs w:val="24"/>
        </w:rPr>
        <w:t>5.3.10</w:t>
      </w:r>
      <w:r>
        <w:rPr>
          <w:sz w:val="24"/>
          <w:szCs w:val="24"/>
        </w:rPr>
        <w:t xml:space="preserve"> 排风系统设计应符合下列</w:t>
      </w:r>
      <w:r>
        <w:rPr>
          <w:rFonts w:hint="eastAsia"/>
          <w:sz w:val="24"/>
          <w:szCs w:val="24"/>
        </w:rPr>
        <w:t>要求</w:t>
      </w:r>
      <w:r>
        <w:rPr>
          <w:sz w:val="24"/>
          <w:szCs w:val="24"/>
        </w:rPr>
        <w:t>：</w:t>
      </w:r>
    </w:p>
    <w:p w14:paraId="53E0A08B">
      <w:pPr>
        <w:spacing w:before="120" w:after="120" w:line="312" w:lineRule="auto"/>
        <w:ind w:firstLine="482" w:firstLineChars="200"/>
        <w:rPr>
          <w:sz w:val="24"/>
          <w:szCs w:val="24"/>
        </w:rPr>
      </w:pPr>
      <w:r>
        <w:rPr>
          <w:b/>
          <w:bCs/>
          <w:sz w:val="24"/>
          <w:szCs w:val="24"/>
        </w:rPr>
        <w:t>1</w:t>
      </w:r>
      <w:r>
        <w:rPr>
          <w:sz w:val="24"/>
          <w:szCs w:val="24"/>
        </w:rPr>
        <w:t>卫生间、餐厅、垃圾房等可能产生污染物的区域应按照污染物性质、浓度及其危害程度分别设置排风系统，维持负压；</w:t>
      </w:r>
    </w:p>
    <w:p w14:paraId="6B7BD753">
      <w:pPr>
        <w:spacing w:before="120" w:after="120" w:line="312" w:lineRule="auto"/>
        <w:ind w:firstLine="482" w:firstLineChars="200"/>
        <w:rPr>
          <w:sz w:val="24"/>
          <w:szCs w:val="24"/>
        </w:rPr>
      </w:pPr>
      <w:r>
        <w:rPr>
          <w:b/>
          <w:bCs/>
          <w:sz w:val="24"/>
          <w:szCs w:val="24"/>
        </w:rPr>
        <w:t>2</w:t>
      </w:r>
      <w:r>
        <w:rPr>
          <w:sz w:val="24"/>
          <w:szCs w:val="24"/>
        </w:rPr>
        <w:t xml:space="preserve"> 有毒、有害、污染性较大的排风应高空排放；</w:t>
      </w:r>
    </w:p>
    <w:p w14:paraId="09007B66">
      <w:pPr>
        <w:spacing w:before="120" w:after="120" w:line="312" w:lineRule="auto"/>
        <w:ind w:firstLine="482" w:firstLineChars="200"/>
        <w:rPr>
          <w:sz w:val="24"/>
          <w:szCs w:val="24"/>
        </w:rPr>
      </w:pPr>
      <w:r>
        <w:rPr>
          <w:b/>
          <w:bCs/>
          <w:sz w:val="24"/>
          <w:szCs w:val="24"/>
        </w:rPr>
        <w:t>3</w:t>
      </w:r>
      <w:r>
        <w:rPr>
          <w:sz w:val="24"/>
          <w:szCs w:val="24"/>
        </w:rPr>
        <w:t xml:space="preserve"> 内区无窗房间应设置机械排风系统；</w:t>
      </w:r>
    </w:p>
    <w:p w14:paraId="728AAF6D">
      <w:pPr>
        <w:spacing w:before="120" w:after="120" w:line="312" w:lineRule="auto"/>
        <w:ind w:firstLine="482" w:firstLineChars="200"/>
        <w:rPr>
          <w:sz w:val="24"/>
          <w:szCs w:val="24"/>
        </w:rPr>
      </w:pPr>
      <w:r>
        <w:rPr>
          <w:b/>
          <w:bCs/>
          <w:sz w:val="24"/>
          <w:szCs w:val="24"/>
        </w:rPr>
        <w:t>4</w:t>
      </w:r>
      <w:r>
        <w:rPr>
          <w:sz w:val="24"/>
          <w:szCs w:val="24"/>
        </w:rPr>
        <w:t xml:space="preserve"> 设有排风热回收装置时，新风和排风不应发生混合。</w:t>
      </w:r>
    </w:p>
    <w:p w14:paraId="4D78CB5A">
      <w:pPr>
        <w:spacing w:before="120" w:after="120" w:line="312" w:lineRule="auto"/>
        <w:rPr>
          <w:b/>
          <w:sz w:val="24"/>
        </w:rPr>
      </w:pPr>
      <w:r>
        <w:rPr>
          <w:b/>
          <w:bCs/>
          <w:sz w:val="24"/>
          <w:szCs w:val="24"/>
        </w:rPr>
        <w:t>5.3.11</w:t>
      </w:r>
      <w:r>
        <w:rPr>
          <w:sz w:val="24"/>
          <w:szCs w:val="24"/>
        </w:rPr>
        <w:t xml:space="preserve"> 应合理选择新风进风口位置，采取自然通风控制或机械通风系统的正负压控制措施，同时避免排水管道的错误连接，确保室内气味得到有效控制。</w:t>
      </w:r>
    </w:p>
    <w:p w14:paraId="2E1E251F">
      <w:pPr>
        <w:spacing w:before="120" w:after="120" w:line="312" w:lineRule="auto"/>
        <w:rPr>
          <w:b/>
          <w:bCs/>
          <w:sz w:val="24"/>
        </w:rPr>
      </w:pPr>
      <w:r>
        <w:rPr>
          <w:b/>
          <w:bCs/>
          <w:sz w:val="24"/>
          <w:szCs w:val="24"/>
        </w:rPr>
        <w:t>5.3.12</w:t>
      </w:r>
      <w:r>
        <w:rPr>
          <w:sz w:val="24"/>
          <w:szCs w:val="24"/>
        </w:rPr>
        <w:t xml:space="preserve"> 应采取适当策略，通过自然通风和机械通风的协同作用控制室内环境。自然通风和混合通风条件下可采用风扇降温。</w:t>
      </w:r>
    </w:p>
    <w:p w14:paraId="11DCFF4D">
      <w:pPr>
        <w:spacing w:before="120" w:after="120" w:line="312" w:lineRule="auto"/>
        <w:rPr>
          <w:b/>
          <w:bCs/>
          <w:sz w:val="24"/>
        </w:rPr>
      </w:pPr>
      <w:r>
        <w:rPr>
          <w:b/>
          <w:bCs/>
          <w:sz w:val="24"/>
          <w:szCs w:val="24"/>
        </w:rPr>
        <w:t xml:space="preserve">5.3.13 </w:t>
      </w:r>
      <w:r>
        <w:rPr>
          <w:sz w:val="24"/>
          <w:szCs w:val="24"/>
        </w:rPr>
        <w:t>建筑室内宜根据功能布局安装室内空气质量监测装置，并与通风空调系统联动。</w:t>
      </w:r>
    </w:p>
    <w:p w14:paraId="7B4B92C0">
      <w:pPr>
        <w:spacing w:before="120" w:after="120" w:line="312" w:lineRule="auto"/>
        <w:rPr>
          <w:b/>
          <w:bCs/>
          <w:sz w:val="24"/>
        </w:rPr>
      </w:pPr>
      <w:r>
        <w:rPr>
          <w:b/>
          <w:bCs/>
          <w:sz w:val="24"/>
          <w:szCs w:val="24"/>
        </w:rPr>
        <w:t>5.3.14</w:t>
      </w:r>
      <w:r>
        <w:rPr>
          <w:sz w:val="24"/>
          <w:szCs w:val="24"/>
        </w:rPr>
        <w:t xml:space="preserve"> 风管系统及末端的布置应便于清洗和维护，且应定期清洗，室内清洗后应及时通风干燥。</w:t>
      </w:r>
    </w:p>
    <w:p w14:paraId="1D49B8A7">
      <w:pPr>
        <w:spacing w:line="288" w:lineRule="auto"/>
        <w:rPr>
          <w:b/>
          <w:bCs/>
          <w:sz w:val="24"/>
        </w:rPr>
      </w:pPr>
      <w:bookmarkStart w:id="231" w:name="_Hlk45802889"/>
      <w:r>
        <w:rPr>
          <w:b/>
          <w:bCs/>
          <w:sz w:val="24"/>
          <w:szCs w:val="24"/>
        </w:rPr>
        <w:t>5.3.</w:t>
      </w:r>
      <w:bookmarkEnd w:id="231"/>
      <w:r>
        <w:rPr>
          <w:b/>
          <w:bCs/>
          <w:sz w:val="24"/>
          <w:szCs w:val="24"/>
        </w:rPr>
        <w:t>15</w:t>
      </w:r>
      <w:r>
        <w:rPr>
          <w:sz w:val="24"/>
          <w:szCs w:val="24"/>
        </w:rPr>
        <w:t xml:space="preserve"> 空调通风系统应合理进行消声设计；无条件设置消声设施时，应控制单台设备容量并选用低噪声设备。</w:t>
      </w:r>
    </w:p>
    <w:p w14:paraId="46D15375">
      <w:pPr>
        <w:spacing w:before="120" w:after="120" w:line="312" w:lineRule="auto"/>
        <w:rPr>
          <w:sz w:val="24"/>
          <w:szCs w:val="24"/>
        </w:rPr>
      </w:pPr>
      <w:r>
        <w:rPr>
          <w:b/>
          <w:bCs/>
          <w:sz w:val="24"/>
          <w:szCs w:val="24"/>
        </w:rPr>
        <w:t>5.3.16</w:t>
      </w:r>
      <w:r>
        <w:rPr>
          <w:sz w:val="24"/>
          <w:szCs w:val="24"/>
        </w:rPr>
        <w:t xml:space="preserve"> 建筑设备应选用低噪音设备，并对设备房进行隔振降噪处理。应对冷热源设备、水泵、风机、空调机组及冷却塔等噪声的传播进行控制。设备布置位置或设备用房设计应遵循以下原则：</w:t>
      </w:r>
    </w:p>
    <w:p w14:paraId="677B7C4E">
      <w:pPr>
        <w:spacing w:before="120" w:after="120" w:line="312" w:lineRule="auto"/>
        <w:ind w:firstLine="482" w:firstLineChars="200"/>
        <w:rPr>
          <w:sz w:val="24"/>
          <w:szCs w:val="24"/>
        </w:rPr>
      </w:pPr>
      <w:bookmarkStart w:id="232" w:name="_Toc12087"/>
      <w:bookmarkStart w:id="233" w:name="_Toc9337"/>
      <w:r>
        <w:rPr>
          <w:b/>
          <w:bCs/>
          <w:sz w:val="24"/>
          <w:szCs w:val="24"/>
        </w:rPr>
        <w:t>1</w:t>
      </w:r>
      <w:r>
        <w:rPr>
          <w:sz w:val="24"/>
          <w:szCs w:val="24"/>
        </w:rPr>
        <w:t xml:space="preserve"> 设备间宜远离噪声敏感房间；</w:t>
      </w:r>
      <w:bookmarkEnd w:id="232"/>
      <w:bookmarkEnd w:id="233"/>
    </w:p>
    <w:p w14:paraId="075C9D26">
      <w:pPr>
        <w:spacing w:before="120" w:after="120" w:line="312" w:lineRule="auto"/>
        <w:ind w:firstLine="482" w:firstLineChars="200"/>
        <w:rPr>
          <w:sz w:val="24"/>
          <w:szCs w:val="24"/>
        </w:rPr>
      </w:pPr>
      <w:r>
        <w:rPr>
          <w:b/>
          <w:bCs/>
          <w:sz w:val="24"/>
          <w:szCs w:val="24"/>
        </w:rPr>
        <w:t>2</w:t>
      </w:r>
      <w:r>
        <w:rPr>
          <w:sz w:val="24"/>
          <w:szCs w:val="24"/>
        </w:rPr>
        <w:t xml:space="preserve"> 设备间必须靠近噪声敏感房间时，应设在对噪声敏感性较低的功能区域并进行隔断；</w:t>
      </w:r>
    </w:p>
    <w:p w14:paraId="070561FF">
      <w:pPr>
        <w:spacing w:before="120" w:after="120" w:line="312" w:lineRule="auto"/>
        <w:ind w:firstLine="482" w:firstLineChars="200"/>
        <w:rPr>
          <w:sz w:val="24"/>
          <w:szCs w:val="24"/>
        </w:rPr>
      </w:pPr>
      <w:bookmarkStart w:id="234" w:name="_Toc25281"/>
      <w:bookmarkStart w:id="235" w:name="_Toc10887"/>
      <w:r>
        <w:rPr>
          <w:b/>
          <w:bCs/>
          <w:sz w:val="24"/>
          <w:szCs w:val="24"/>
        </w:rPr>
        <w:t>3</w:t>
      </w:r>
      <w:r>
        <w:rPr>
          <w:sz w:val="24"/>
          <w:szCs w:val="24"/>
        </w:rPr>
        <w:t xml:space="preserve"> 噪声产生设备的容量应合理选择；</w:t>
      </w:r>
      <w:bookmarkEnd w:id="234"/>
      <w:bookmarkEnd w:id="235"/>
    </w:p>
    <w:p w14:paraId="748D2709">
      <w:pPr>
        <w:spacing w:before="120" w:after="120" w:line="312" w:lineRule="auto"/>
        <w:ind w:firstLine="482" w:firstLineChars="200"/>
        <w:rPr>
          <w:sz w:val="24"/>
          <w:szCs w:val="24"/>
        </w:rPr>
      </w:pPr>
      <w:r>
        <w:rPr>
          <w:b/>
          <w:bCs/>
          <w:sz w:val="24"/>
          <w:szCs w:val="24"/>
        </w:rPr>
        <w:t>4</w:t>
      </w:r>
      <w:r>
        <w:rPr>
          <w:sz w:val="24"/>
          <w:szCs w:val="24"/>
        </w:rPr>
        <w:t xml:space="preserve"> 设备间应采取措施合理进行设备及管路系统的隔声、吸声与隔振，设备间宜采取适当的的吸声处理；</w:t>
      </w:r>
    </w:p>
    <w:p w14:paraId="661F7556">
      <w:pPr>
        <w:spacing w:before="120" w:after="120" w:line="312" w:lineRule="auto"/>
        <w:ind w:firstLine="482" w:firstLineChars="200"/>
        <w:rPr>
          <w:sz w:val="24"/>
          <w:szCs w:val="24"/>
        </w:rPr>
      </w:pPr>
      <w:r>
        <w:rPr>
          <w:b/>
          <w:bCs/>
          <w:sz w:val="24"/>
          <w:szCs w:val="24"/>
        </w:rPr>
        <w:t>5</w:t>
      </w:r>
      <w:r>
        <w:rPr>
          <w:sz w:val="24"/>
          <w:szCs w:val="24"/>
        </w:rPr>
        <w:t xml:space="preserve"> 冷热源设备和水泵设置于敏感房间上一层时，地面宜设置浮筑楼板。</w:t>
      </w:r>
    </w:p>
    <w:p w14:paraId="55EA0039">
      <w:pPr>
        <w:spacing w:before="120" w:after="120" w:line="312" w:lineRule="auto"/>
        <w:rPr>
          <w:bCs/>
          <w:sz w:val="24"/>
        </w:rPr>
      </w:pPr>
      <w:bookmarkStart w:id="236" w:name="_Hlk45803153"/>
      <w:r>
        <w:rPr>
          <w:b/>
          <w:sz w:val="24"/>
        </w:rPr>
        <w:t>5.3.</w:t>
      </w:r>
      <w:bookmarkEnd w:id="236"/>
      <w:r>
        <w:rPr>
          <w:b/>
          <w:sz w:val="24"/>
        </w:rPr>
        <w:t xml:space="preserve">17 </w:t>
      </w:r>
      <w:r>
        <w:rPr>
          <w:bCs/>
          <w:sz w:val="24"/>
        </w:rPr>
        <w:t>室内光照应根据空间类型的环境要求及人群类型特点，合理配置照明的光源、色温、照度、均匀度，准确呈现空间色彩。</w:t>
      </w:r>
    </w:p>
    <w:p w14:paraId="0D175DA8">
      <w:pPr>
        <w:spacing w:before="120" w:after="120" w:line="312" w:lineRule="auto"/>
        <w:rPr>
          <w:b/>
          <w:bCs/>
          <w:sz w:val="24"/>
          <w:szCs w:val="24"/>
        </w:rPr>
      </w:pPr>
      <w:r>
        <w:rPr>
          <w:b/>
          <w:bCs/>
          <w:sz w:val="24"/>
          <w:szCs w:val="24"/>
        </w:rPr>
        <w:t>5.3.18</w:t>
      </w:r>
      <w:r>
        <w:rPr>
          <w:sz w:val="24"/>
          <w:szCs w:val="24"/>
        </w:rPr>
        <w:t xml:space="preserve"> 自然采光和室内照明应进行协同控制，对直射阳光应进行眩光控制，室内照明应实现场景控制。结合天然采光，优化照明均匀度、立体感及显色性等元素，营造适宜的灯光氛围。</w:t>
      </w:r>
    </w:p>
    <w:p w14:paraId="0193CCDC">
      <w:pPr>
        <w:spacing w:before="120" w:after="120" w:line="312" w:lineRule="auto"/>
        <w:rPr>
          <w:b/>
          <w:sz w:val="24"/>
        </w:rPr>
      </w:pPr>
      <w:r>
        <w:rPr>
          <w:b/>
          <w:sz w:val="24"/>
        </w:rPr>
        <w:t xml:space="preserve">5.3.19 </w:t>
      </w:r>
      <w:r>
        <w:rPr>
          <w:bCs/>
          <w:sz w:val="24"/>
        </w:rPr>
        <w:t>公共建筑的走廊、楼梯间、门厅等公共场所的照明，宜根据建筑使用条件和天然采光状况采取分区、分组控制措施，并应采用集中控制，按需采取调光或降低照度的控制措施。</w:t>
      </w:r>
    </w:p>
    <w:p w14:paraId="1E26BFAF">
      <w:pPr>
        <w:spacing w:before="120" w:after="120" w:line="312" w:lineRule="auto"/>
        <w:rPr>
          <w:bCs/>
          <w:sz w:val="24"/>
        </w:rPr>
      </w:pPr>
      <w:bookmarkStart w:id="237" w:name="_Hlk45803174"/>
      <w:r>
        <w:rPr>
          <w:b/>
          <w:sz w:val="24"/>
        </w:rPr>
        <w:t>5.3.</w:t>
      </w:r>
      <w:bookmarkEnd w:id="237"/>
      <w:r>
        <w:rPr>
          <w:b/>
          <w:sz w:val="24"/>
        </w:rPr>
        <w:t xml:space="preserve">20 </w:t>
      </w:r>
      <w:r>
        <w:rPr>
          <w:bCs/>
          <w:sz w:val="24"/>
        </w:rPr>
        <w:t>在满足眩光限值和配光要求的前提下，应选用高效率或高效能灯具；有视觉显示终端的工作场所照明应限制终端和灯具中垂线的夹角大于或等于65°范围的亮度，其平均照度限值应符合现行国家标准《建筑照明设计标准》GB/T 50034的有关规定。</w:t>
      </w:r>
    </w:p>
    <w:p w14:paraId="4F94530C">
      <w:pPr>
        <w:spacing w:before="120" w:after="120" w:line="312" w:lineRule="auto"/>
        <w:rPr>
          <w:bCs/>
          <w:sz w:val="24"/>
        </w:rPr>
      </w:pPr>
      <w:r>
        <w:rPr>
          <w:b/>
          <w:sz w:val="24"/>
        </w:rPr>
        <w:t xml:space="preserve">5.3.21 </w:t>
      </w:r>
      <w:r>
        <w:rPr>
          <w:bCs/>
          <w:sz w:val="24"/>
        </w:rPr>
        <w:t>大型公共建筑宜根据使用需求采用适宜的自动(含智能控制)照明控制系统，其智能照明控制系统宜具备以下功能：</w:t>
      </w:r>
    </w:p>
    <w:p w14:paraId="0842DABA">
      <w:pPr>
        <w:spacing w:before="120" w:after="120" w:line="312" w:lineRule="auto"/>
        <w:ind w:firstLine="482" w:firstLineChars="200"/>
        <w:rPr>
          <w:bCs/>
          <w:sz w:val="24"/>
        </w:rPr>
      </w:pPr>
      <w:r>
        <w:rPr>
          <w:b/>
          <w:bCs/>
          <w:sz w:val="24"/>
          <w:szCs w:val="24"/>
        </w:rPr>
        <w:t>1</w:t>
      </w:r>
      <w:r>
        <w:rPr>
          <w:sz w:val="24"/>
          <w:szCs w:val="24"/>
        </w:rPr>
        <w:t xml:space="preserve"> </w:t>
      </w:r>
      <w:r>
        <w:rPr>
          <w:bCs/>
          <w:sz w:val="24"/>
        </w:rPr>
        <w:t>宜具备信息采集功能和多种控制方式，支持不同场景控制模式；</w:t>
      </w:r>
    </w:p>
    <w:p w14:paraId="07CDC7D2">
      <w:pPr>
        <w:spacing w:before="120" w:after="120" w:line="312" w:lineRule="auto"/>
        <w:ind w:firstLine="482" w:firstLineChars="200"/>
        <w:rPr>
          <w:bCs/>
          <w:sz w:val="24"/>
        </w:rPr>
      </w:pPr>
      <w:bookmarkStart w:id="238" w:name="_Toc10993"/>
      <w:bookmarkStart w:id="239" w:name="_Toc12684"/>
      <w:r>
        <w:rPr>
          <w:b/>
          <w:bCs/>
          <w:sz w:val="24"/>
          <w:szCs w:val="24"/>
        </w:rPr>
        <w:t>2</w:t>
      </w:r>
      <w:r>
        <w:rPr>
          <w:sz w:val="24"/>
          <w:szCs w:val="24"/>
        </w:rPr>
        <w:t xml:space="preserve"> </w:t>
      </w:r>
      <w:r>
        <w:rPr>
          <w:bCs/>
          <w:sz w:val="24"/>
        </w:rPr>
        <w:t>当控制照明装置时，宜具备相适应的接口；</w:t>
      </w:r>
      <w:bookmarkEnd w:id="238"/>
      <w:bookmarkEnd w:id="239"/>
    </w:p>
    <w:p w14:paraId="7C778A3E">
      <w:pPr>
        <w:spacing w:before="120" w:after="120" w:line="312" w:lineRule="auto"/>
        <w:ind w:firstLine="482" w:firstLineChars="200"/>
        <w:rPr>
          <w:bCs/>
          <w:sz w:val="24"/>
        </w:rPr>
      </w:pPr>
      <w:r>
        <w:rPr>
          <w:b/>
          <w:bCs/>
          <w:sz w:val="24"/>
          <w:szCs w:val="24"/>
        </w:rPr>
        <w:t>3</w:t>
      </w:r>
      <w:r>
        <w:rPr>
          <w:sz w:val="24"/>
          <w:szCs w:val="24"/>
        </w:rPr>
        <w:t xml:space="preserve"> </w:t>
      </w:r>
      <w:r>
        <w:rPr>
          <w:bCs/>
          <w:sz w:val="24"/>
        </w:rPr>
        <w:t>可实时显示和记录所控照明系统的相关信息，并可自动生成分析和统计报表；</w:t>
      </w:r>
    </w:p>
    <w:p w14:paraId="10FF6D41">
      <w:pPr>
        <w:spacing w:before="120" w:after="120" w:line="312" w:lineRule="auto"/>
        <w:ind w:firstLine="482" w:firstLineChars="200"/>
        <w:rPr>
          <w:bCs/>
          <w:sz w:val="24"/>
        </w:rPr>
      </w:pPr>
      <w:bookmarkStart w:id="240" w:name="_Toc4961"/>
      <w:bookmarkStart w:id="241" w:name="_Toc32423"/>
      <w:r>
        <w:rPr>
          <w:b/>
          <w:bCs/>
          <w:sz w:val="24"/>
          <w:szCs w:val="24"/>
        </w:rPr>
        <w:t>4</w:t>
      </w:r>
      <w:r>
        <w:rPr>
          <w:sz w:val="24"/>
          <w:szCs w:val="24"/>
        </w:rPr>
        <w:t xml:space="preserve"> </w:t>
      </w:r>
      <w:r>
        <w:rPr>
          <w:bCs/>
          <w:sz w:val="24"/>
        </w:rPr>
        <w:t>宜预留与其他系统的联动接口。</w:t>
      </w:r>
      <w:bookmarkEnd w:id="240"/>
      <w:bookmarkEnd w:id="241"/>
    </w:p>
    <w:p w14:paraId="320F0C7D">
      <w:pPr>
        <w:spacing w:before="120" w:after="120" w:line="312" w:lineRule="auto"/>
        <w:rPr>
          <w:sz w:val="24"/>
          <w:szCs w:val="24"/>
        </w:rPr>
      </w:pPr>
      <w:r>
        <w:rPr>
          <w:b/>
          <w:bCs/>
          <w:sz w:val="24"/>
          <w:szCs w:val="24"/>
        </w:rPr>
        <w:t>5.3.22</w:t>
      </w:r>
      <w:r>
        <w:rPr>
          <w:sz w:val="24"/>
          <w:szCs w:val="24"/>
        </w:rPr>
        <w:t xml:space="preserve"> 建筑室内声环境宜进行控制。大空间和超大空间应设置与声学设计匹配的电声系统；房间空间可加入背景音乐系统，可采用电声技术调节空间音质。</w:t>
      </w:r>
    </w:p>
    <w:p w14:paraId="065EE1E5">
      <w:pPr>
        <w:spacing w:before="120" w:after="120" w:line="312" w:lineRule="auto"/>
        <w:rPr>
          <w:bCs/>
          <w:sz w:val="24"/>
        </w:rPr>
      </w:pPr>
      <w:r>
        <w:rPr>
          <w:b/>
          <w:bCs/>
          <w:sz w:val="24"/>
          <w:szCs w:val="24"/>
        </w:rPr>
        <w:t>5.3.23</w:t>
      </w:r>
      <w:r>
        <w:rPr>
          <w:sz w:val="24"/>
          <w:szCs w:val="24"/>
        </w:rPr>
        <w:t xml:space="preserve"> </w:t>
      </w:r>
      <w:r>
        <w:rPr>
          <w:bCs/>
          <w:sz w:val="24"/>
        </w:rPr>
        <w:t>建筑宜按空间单元配置独立的智能处理节点，构成智能空间单元。服务于建筑空间单元的从属设备，应划归至其所在的智能空间单元中。</w:t>
      </w:r>
    </w:p>
    <w:p w14:paraId="2038101E">
      <w:pPr>
        <w:spacing w:before="120" w:after="120" w:line="312" w:lineRule="auto"/>
        <w:rPr>
          <w:sz w:val="24"/>
          <w:szCs w:val="24"/>
        </w:rPr>
      </w:pPr>
      <w:r>
        <w:rPr>
          <w:b/>
          <w:bCs/>
          <w:sz w:val="24"/>
          <w:szCs w:val="24"/>
        </w:rPr>
        <w:t>5.3.24</w:t>
      </w:r>
      <w:r>
        <w:rPr>
          <w:sz w:val="24"/>
          <w:szCs w:val="24"/>
        </w:rPr>
        <w:t xml:space="preserve"> 应通过智能化控制系统实现门窗、通风、空调、遮阳、采光及照明系统的联动控制，依据室内外环境参数自动调节系统与设备运行，确保室内环境的舒适性、节能性与安全性，并实现以下功能：</w:t>
      </w:r>
    </w:p>
    <w:p w14:paraId="21CF21C5">
      <w:pPr>
        <w:spacing w:before="120" w:after="120" w:line="312" w:lineRule="auto"/>
        <w:ind w:firstLine="480" w:firstLineChars="200"/>
        <w:rPr>
          <w:sz w:val="24"/>
          <w:szCs w:val="24"/>
        </w:rPr>
      </w:pPr>
      <w:r>
        <w:rPr>
          <w:sz w:val="24"/>
          <w:szCs w:val="24"/>
        </w:rPr>
        <w:t>1 智能控制系统应精准控制温度和各区域风速，降低春夏季湿度，并宜支持按场景环境要求及时间进程实时调节；</w:t>
      </w:r>
    </w:p>
    <w:p w14:paraId="224F585D">
      <w:pPr>
        <w:spacing w:before="120" w:after="120" w:line="312" w:lineRule="auto"/>
        <w:ind w:firstLine="480" w:firstLineChars="200"/>
        <w:rPr>
          <w:sz w:val="24"/>
          <w:szCs w:val="24"/>
        </w:rPr>
      </w:pPr>
      <w:r>
        <w:rPr>
          <w:sz w:val="24"/>
          <w:szCs w:val="24"/>
        </w:rPr>
        <w:t>2 应采取适当策略，实现自然通风和机械通风下室内温湿度协同控制，包括室内空气质量控制和新风供给；</w:t>
      </w:r>
    </w:p>
    <w:p w14:paraId="58FD9A6F">
      <w:pPr>
        <w:spacing w:before="120" w:after="120" w:line="312" w:lineRule="auto"/>
        <w:ind w:firstLine="480" w:firstLineChars="200"/>
        <w:rPr>
          <w:sz w:val="24"/>
          <w:szCs w:val="24"/>
        </w:rPr>
      </w:pPr>
      <w:r>
        <w:rPr>
          <w:sz w:val="24"/>
          <w:szCs w:val="24"/>
        </w:rPr>
        <w:t>3 对于超大空间、大空间及普通空间宜实现气流智能调控（感知空间人流、驻留密度及温度空间分布）；</w:t>
      </w:r>
    </w:p>
    <w:p w14:paraId="141A8C70">
      <w:pPr>
        <w:spacing w:before="120" w:after="120" w:line="312" w:lineRule="auto"/>
        <w:ind w:firstLine="480" w:firstLineChars="200"/>
        <w:rPr>
          <w:sz w:val="24"/>
          <w:szCs w:val="24"/>
        </w:rPr>
      </w:pPr>
      <w:r>
        <w:rPr>
          <w:sz w:val="24"/>
          <w:szCs w:val="24"/>
        </w:rPr>
        <w:t>4 潮湿天气下应具备除湿功能、根据湿度参数控制门窗的启闭。</w:t>
      </w:r>
    </w:p>
    <w:p w14:paraId="598A5EAE">
      <w:pPr>
        <w:spacing w:before="120" w:after="120" w:line="312" w:lineRule="auto"/>
        <w:ind w:firstLine="480" w:firstLineChars="200"/>
        <w:rPr>
          <w:sz w:val="24"/>
          <w:szCs w:val="24"/>
        </w:rPr>
      </w:pPr>
      <w:r>
        <w:rPr>
          <w:sz w:val="24"/>
          <w:szCs w:val="24"/>
        </w:rPr>
        <w:t>5 自然采光和室内照明应进行协同控制，对直射阳光应进行炫光控制，室内照明应进行场景控制。</w:t>
      </w:r>
    </w:p>
    <w:p w14:paraId="2C5F29AE">
      <w:pPr>
        <w:spacing w:before="120" w:after="120" w:line="312" w:lineRule="auto"/>
        <w:ind w:firstLine="480" w:firstLineChars="200"/>
        <w:rPr>
          <w:sz w:val="24"/>
          <w:szCs w:val="24"/>
        </w:rPr>
      </w:pPr>
      <w:r>
        <w:rPr>
          <w:sz w:val="24"/>
          <w:szCs w:val="24"/>
        </w:rPr>
        <w:t>6 系统应支持场景模式切换及远程监控功能，确保室内环境的协调统一。</w:t>
      </w:r>
    </w:p>
    <w:p w14:paraId="59CEC456">
      <w:pPr>
        <w:spacing w:before="120" w:after="120" w:line="312" w:lineRule="auto"/>
        <w:rPr>
          <w:sz w:val="24"/>
          <w:szCs w:val="24"/>
        </w:rPr>
      </w:pPr>
    </w:p>
    <w:p w14:paraId="6C4F060F">
      <w:pPr>
        <w:spacing w:before="120" w:after="120" w:line="312" w:lineRule="auto"/>
        <w:jc w:val="center"/>
        <w:outlineLvl w:val="0"/>
        <w:rPr>
          <w:b/>
          <w:bCs/>
          <w:sz w:val="28"/>
          <w:szCs w:val="28"/>
        </w:rPr>
      </w:pPr>
      <w:r>
        <w:rPr>
          <w:sz w:val="24"/>
          <w:szCs w:val="24"/>
        </w:rPr>
        <w:br w:type="page"/>
      </w:r>
      <w:bookmarkStart w:id="242" w:name="_Toc11124"/>
      <w:bookmarkStart w:id="243" w:name="_Toc1575"/>
      <w:bookmarkStart w:id="244" w:name="_Toc201158904"/>
      <w:bookmarkStart w:id="245" w:name="_Toc479"/>
      <w:bookmarkStart w:id="246" w:name="_Toc14177"/>
      <w:bookmarkStart w:id="247" w:name="_Toc15494"/>
      <w:bookmarkStart w:id="248" w:name="_Toc32638"/>
      <w:bookmarkStart w:id="249" w:name="_Toc16542"/>
      <w:bookmarkStart w:id="250" w:name="_Toc24933"/>
      <w:bookmarkStart w:id="251" w:name="_Toc18424"/>
      <w:bookmarkStart w:id="252" w:name="_Toc24567"/>
      <w:r>
        <w:rPr>
          <w:b/>
          <w:bCs/>
          <w:sz w:val="28"/>
          <w:szCs w:val="28"/>
        </w:rPr>
        <w:t>6 运行维护</w:t>
      </w:r>
      <w:bookmarkEnd w:id="242"/>
      <w:bookmarkEnd w:id="243"/>
      <w:bookmarkEnd w:id="244"/>
      <w:bookmarkEnd w:id="245"/>
      <w:bookmarkEnd w:id="246"/>
      <w:bookmarkEnd w:id="247"/>
      <w:bookmarkEnd w:id="248"/>
      <w:bookmarkEnd w:id="249"/>
      <w:bookmarkEnd w:id="250"/>
      <w:bookmarkEnd w:id="251"/>
      <w:bookmarkEnd w:id="252"/>
    </w:p>
    <w:p w14:paraId="2EA86017">
      <w:pPr>
        <w:spacing w:before="120" w:after="120" w:line="312" w:lineRule="auto"/>
        <w:jc w:val="center"/>
        <w:outlineLvl w:val="1"/>
        <w:rPr>
          <w:b/>
          <w:bCs/>
          <w:sz w:val="24"/>
          <w:szCs w:val="24"/>
        </w:rPr>
      </w:pPr>
      <w:bookmarkStart w:id="253" w:name="_Toc28931"/>
      <w:bookmarkStart w:id="254" w:name="_Toc19308"/>
      <w:bookmarkStart w:id="255" w:name="_Toc25033"/>
      <w:bookmarkStart w:id="256" w:name="_Toc7559"/>
      <w:bookmarkStart w:id="257" w:name="_Toc4160"/>
      <w:bookmarkStart w:id="258" w:name="_Toc201158905"/>
      <w:r>
        <w:rPr>
          <w:b/>
          <w:bCs/>
          <w:sz w:val="24"/>
          <w:szCs w:val="24"/>
        </w:rPr>
        <w:t>6.1 一般规定</w:t>
      </w:r>
      <w:bookmarkEnd w:id="253"/>
      <w:bookmarkEnd w:id="254"/>
      <w:bookmarkEnd w:id="255"/>
      <w:bookmarkEnd w:id="256"/>
      <w:bookmarkEnd w:id="257"/>
      <w:bookmarkEnd w:id="258"/>
    </w:p>
    <w:p w14:paraId="0C7B28E7">
      <w:pPr>
        <w:spacing w:before="120" w:after="120" w:line="312" w:lineRule="auto"/>
        <w:rPr>
          <w:sz w:val="24"/>
          <w:szCs w:val="24"/>
        </w:rPr>
      </w:pPr>
      <w:r>
        <w:rPr>
          <w:b/>
          <w:bCs/>
          <w:sz w:val="24"/>
          <w:szCs w:val="24"/>
        </w:rPr>
        <w:t>6.1.1</w:t>
      </w:r>
      <w:r>
        <w:rPr>
          <w:sz w:val="24"/>
          <w:szCs w:val="24"/>
        </w:rPr>
        <w:t xml:space="preserve"> 应根据项目的具体情况和物业管理模式，对涉及室内环境的清洁卫生、室内绿化、虫害消杀服务和设施设备运维管理，制定并实施相应的管理与监督制度、运行维护手册和应急预案，保持室内环境指标的持续达标。</w:t>
      </w:r>
    </w:p>
    <w:p w14:paraId="210F7696">
      <w:pPr>
        <w:spacing w:before="120" w:after="120" w:line="312" w:lineRule="auto"/>
        <w:rPr>
          <w:sz w:val="24"/>
          <w:szCs w:val="24"/>
        </w:rPr>
      </w:pPr>
      <w:r>
        <w:rPr>
          <w:b/>
          <w:bCs/>
          <w:sz w:val="24"/>
          <w:szCs w:val="24"/>
        </w:rPr>
        <w:t>6.1.2</w:t>
      </w:r>
      <w:r>
        <w:rPr>
          <w:sz w:val="24"/>
          <w:szCs w:val="24"/>
        </w:rPr>
        <w:t xml:space="preserve"> 清洁卫生、室内绿化和虫害消杀工作应充分考虑清洁剂、绿色植物和杀虫剂的选择及作业方法，避免对装饰材料和室内空气环境造成不良影响。</w:t>
      </w:r>
    </w:p>
    <w:p w14:paraId="69450EDA">
      <w:pPr>
        <w:spacing w:before="120" w:after="120" w:line="312" w:lineRule="auto"/>
        <w:rPr>
          <w:sz w:val="24"/>
          <w:szCs w:val="24"/>
        </w:rPr>
      </w:pPr>
      <w:r>
        <w:rPr>
          <w:b/>
          <w:bCs/>
          <w:sz w:val="24"/>
          <w:szCs w:val="24"/>
        </w:rPr>
        <w:t>6.1.</w:t>
      </w:r>
      <w:r>
        <w:rPr>
          <w:rFonts w:hint="eastAsia"/>
          <w:b/>
          <w:bCs/>
          <w:sz w:val="24"/>
          <w:szCs w:val="24"/>
        </w:rPr>
        <w:t>3</w:t>
      </w:r>
      <w:r>
        <w:rPr>
          <w:sz w:val="24"/>
          <w:szCs w:val="24"/>
        </w:rPr>
        <w:t>设施设备系统的运行维护应严格按照操作规程执行，确保照明、噪音、温湿度等环境指标符合舒适性要求。</w:t>
      </w:r>
    </w:p>
    <w:p w14:paraId="1957A5CA">
      <w:pPr>
        <w:spacing w:before="120" w:after="120" w:line="312" w:lineRule="auto"/>
        <w:rPr>
          <w:sz w:val="24"/>
          <w:szCs w:val="24"/>
        </w:rPr>
      </w:pPr>
      <w:r>
        <w:rPr>
          <w:b/>
          <w:bCs/>
          <w:sz w:val="24"/>
          <w:szCs w:val="24"/>
        </w:rPr>
        <w:t>6.1.</w:t>
      </w:r>
      <w:r>
        <w:rPr>
          <w:rFonts w:hint="eastAsia"/>
          <w:b/>
          <w:bCs/>
          <w:sz w:val="24"/>
          <w:szCs w:val="24"/>
        </w:rPr>
        <w:t>4</w:t>
      </w:r>
      <w:r>
        <w:rPr>
          <w:sz w:val="24"/>
          <w:szCs w:val="24"/>
        </w:rPr>
        <w:t xml:space="preserve"> 运行维护单位应做好技术接管工作，设置室内环境管理岗位，负责室内环境的管理规划、运行监督、意见收集及反馈落实等工作，确保室内环境的高效管理与持续优化。</w:t>
      </w:r>
    </w:p>
    <w:p w14:paraId="527FF76B">
      <w:pPr>
        <w:spacing w:before="120" w:after="120" w:line="312" w:lineRule="auto"/>
        <w:rPr>
          <w:sz w:val="24"/>
          <w:szCs w:val="24"/>
        </w:rPr>
      </w:pPr>
    </w:p>
    <w:p w14:paraId="1243B730">
      <w:pPr>
        <w:spacing w:before="120" w:after="120" w:line="312" w:lineRule="auto"/>
        <w:jc w:val="center"/>
        <w:outlineLvl w:val="1"/>
        <w:rPr>
          <w:b/>
          <w:bCs/>
          <w:sz w:val="24"/>
          <w:szCs w:val="24"/>
        </w:rPr>
      </w:pPr>
      <w:bookmarkStart w:id="259" w:name="_Toc7916"/>
      <w:bookmarkStart w:id="260" w:name="_Toc26804"/>
      <w:bookmarkStart w:id="261" w:name="_Toc164097276"/>
      <w:bookmarkStart w:id="262" w:name="_Toc21086"/>
      <w:bookmarkStart w:id="263" w:name="_Toc3124"/>
      <w:bookmarkStart w:id="264" w:name="_Toc6889"/>
      <w:bookmarkStart w:id="265" w:name="_Toc18667"/>
      <w:bookmarkStart w:id="266" w:name="_Toc15775"/>
      <w:bookmarkStart w:id="267" w:name="_Toc201158906"/>
      <w:bookmarkStart w:id="268" w:name="_Toc9404"/>
      <w:bookmarkStart w:id="269" w:name="_Toc9316"/>
      <w:bookmarkStart w:id="270" w:name="_Toc20576"/>
      <w:r>
        <w:rPr>
          <w:b/>
          <w:bCs/>
          <w:sz w:val="24"/>
          <w:szCs w:val="24"/>
        </w:rPr>
        <w:t>6.2 物理环境维护</w:t>
      </w:r>
      <w:bookmarkEnd w:id="259"/>
      <w:bookmarkEnd w:id="260"/>
      <w:bookmarkEnd w:id="261"/>
      <w:bookmarkEnd w:id="262"/>
      <w:bookmarkEnd w:id="263"/>
      <w:bookmarkEnd w:id="264"/>
      <w:bookmarkEnd w:id="265"/>
      <w:bookmarkEnd w:id="266"/>
      <w:bookmarkEnd w:id="267"/>
      <w:bookmarkEnd w:id="268"/>
      <w:bookmarkEnd w:id="269"/>
      <w:bookmarkEnd w:id="270"/>
    </w:p>
    <w:p w14:paraId="4AD774D1">
      <w:pPr>
        <w:spacing w:before="120" w:after="120" w:line="312" w:lineRule="auto"/>
        <w:rPr>
          <w:b/>
          <w:bCs/>
          <w:sz w:val="24"/>
        </w:rPr>
      </w:pPr>
      <w:r>
        <w:rPr>
          <w:b/>
          <w:bCs/>
          <w:sz w:val="24"/>
          <w:szCs w:val="24"/>
        </w:rPr>
        <w:t>6.2.1</w:t>
      </w:r>
      <w:r>
        <w:rPr>
          <w:sz w:val="24"/>
          <w:szCs w:val="24"/>
        </w:rPr>
        <w:t xml:space="preserve"> 运行期间应记录建筑运行数据，结合建筑功能、场景需求、室内外环境和用户需求，区分设置常用模式与个性化模式并根据实际需求实时调整系统运行状态及环境设置参数，确保人性化管理。</w:t>
      </w:r>
    </w:p>
    <w:p w14:paraId="7D4B7AC2">
      <w:pPr>
        <w:spacing w:before="120" w:after="120" w:line="312" w:lineRule="auto"/>
        <w:rPr>
          <w:sz w:val="24"/>
          <w:szCs w:val="24"/>
        </w:rPr>
      </w:pPr>
      <w:r>
        <w:rPr>
          <w:rFonts w:hint="eastAsia"/>
          <w:b/>
          <w:bCs/>
          <w:sz w:val="24"/>
          <w:szCs w:val="24"/>
        </w:rPr>
        <w:t>6.2.2</w:t>
      </w:r>
      <w:r>
        <w:rPr>
          <w:rFonts w:hint="eastAsia"/>
          <w:sz w:val="24"/>
          <w:szCs w:val="24"/>
        </w:rPr>
        <w:t xml:space="preserve"> </w:t>
      </w:r>
      <w:r>
        <w:rPr>
          <w:sz w:val="24"/>
          <w:szCs w:val="24"/>
        </w:rPr>
        <w:t>树木应定期修剪，避免过度生长造成环境过于阴暗</w:t>
      </w:r>
      <w:r>
        <w:rPr>
          <w:rFonts w:hint="eastAsia"/>
          <w:sz w:val="24"/>
          <w:szCs w:val="24"/>
        </w:rPr>
        <w:t>。</w:t>
      </w:r>
    </w:p>
    <w:p w14:paraId="53B16367">
      <w:pPr>
        <w:spacing w:before="120" w:after="120" w:line="312" w:lineRule="auto"/>
        <w:rPr>
          <w:sz w:val="24"/>
          <w:szCs w:val="24"/>
        </w:rPr>
      </w:pPr>
      <w:r>
        <w:rPr>
          <w:b/>
          <w:bCs/>
          <w:sz w:val="24"/>
          <w:szCs w:val="24"/>
        </w:rPr>
        <w:t>6.2.</w:t>
      </w:r>
      <w:r>
        <w:rPr>
          <w:rFonts w:hint="eastAsia"/>
          <w:b/>
          <w:bCs/>
          <w:sz w:val="24"/>
          <w:szCs w:val="24"/>
        </w:rPr>
        <w:t>3</w:t>
      </w:r>
      <w:r>
        <w:rPr>
          <w:sz w:val="24"/>
          <w:szCs w:val="24"/>
        </w:rPr>
        <w:t xml:space="preserve"> 运行期间，应定期检查并调整温湿度控制系统，确保不同功能及空间场景的温湿度符合设计标准并已根据具体实际使用需求和空间特点进行优化：</w:t>
      </w:r>
    </w:p>
    <w:p w14:paraId="573F5B3B">
      <w:pPr>
        <w:spacing w:before="120" w:after="120" w:line="312" w:lineRule="auto"/>
        <w:rPr>
          <w:sz w:val="24"/>
          <w:szCs w:val="24"/>
        </w:rPr>
      </w:pPr>
      <w:r>
        <w:rPr>
          <w:sz w:val="24"/>
          <w:szCs w:val="24"/>
        </w:rPr>
        <w:t xml:space="preserve">   </w:t>
      </w:r>
      <w:r>
        <w:rPr>
          <w:b/>
          <w:bCs/>
          <w:sz w:val="24"/>
          <w:szCs w:val="24"/>
        </w:rPr>
        <w:t>1</w:t>
      </w:r>
      <w:r>
        <w:rPr>
          <w:sz w:val="24"/>
          <w:szCs w:val="24"/>
        </w:rPr>
        <w:t xml:space="preserve"> 对于不同大小的空间，应根据空间的规模、使用性质和人员活动等因素，优化温湿度的设定。大空间及超大空间应确保温湿度维持在合理的平均水平，避免过高或过低，保证舒适性与节能的平衡；</w:t>
      </w:r>
    </w:p>
    <w:p w14:paraId="349BC718">
      <w:pPr>
        <w:spacing w:before="120" w:after="120" w:line="312" w:lineRule="auto"/>
        <w:rPr>
          <w:sz w:val="24"/>
          <w:szCs w:val="24"/>
        </w:rPr>
      </w:pPr>
      <w:r>
        <w:rPr>
          <w:sz w:val="24"/>
          <w:szCs w:val="24"/>
        </w:rPr>
        <w:t xml:space="preserve">   </w:t>
      </w:r>
      <w:r>
        <w:rPr>
          <w:b/>
          <w:bCs/>
          <w:sz w:val="24"/>
          <w:szCs w:val="24"/>
        </w:rPr>
        <w:t>2</w:t>
      </w:r>
      <w:r>
        <w:rPr>
          <w:sz w:val="24"/>
          <w:szCs w:val="24"/>
        </w:rPr>
        <w:t xml:space="preserve"> 与室外距离不同的空间，其温湿度要求宜根据实际室外环境按适当梯度设置。对于靠近外门口的过渡区域，应考虑外部温湿度波动的影响，避免室内外温差过大。</w:t>
      </w:r>
    </w:p>
    <w:p w14:paraId="2653D5E3">
      <w:pPr>
        <w:spacing w:line="288" w:lineRule="auto"/>
        <w:rPr>
          <w:sz w:val="24"/>
          <w:szCs w:val="24"/>
        </w:rPr>
      </w:pPr>
      <w:r>
        <w:rPr>
          <w:b/>
          <w:bCs/>
          <w:sz w:val="24"/>
          <w:szCs w:val="24"/>
        </w:rPr>
        <w:t>6.2.</w:t>
      </w:r>
      <w:r>
        <w:rPr>
          <w:rFonts w:hint="eastAsia"/>
          <w:b/>
          <w:bCs/>
          <w:sz w:val="24"/>
          <w:szCs w:val="24"/>
        </w:rPr>
        <w:t>4</w:t>
      </w:r>
      <w:r>
        <w:rPr>
          <w:sz w:val="24"/>
          <w:szCs w:val="24"/>
        </w:rPr>
        <w:t xml:space="preserve"> 宜根据室外建筑物及景观情况，合理布置室内功能区域。</w:t>
      </w:r>
    </w:p>
    <w:p w14:paraId="54C5006D">
      <w:pPr>
        <w:spacing w:before="120" w:after="120" w:line="312" w:lineRule="auto"/>
        <w:rPr>
          <w:b/>
          <w:bCs/>
          <w:sz w:val="24"/>
        </w:rPr>
      </w:pPr>
      <w:r>
        <w:rPr>
          <w:b/>
          <w:bCs/>
          <w:sz w:val="24"/>
          <w:szCs w:val="24"/>
        </w:rPr>
        <w:t>6.2.</w:t>
      </w:r>
      <w:r>
        <w:rPr>
          <w:rFonts w:hint="eastAsia"/>
          <w:b/>
          <w:bCs/>
          <w:sz w:val="24"/>
          <w:szCs w:val="24"/>
        </w:rPr>
        <w:t>5</w:t>
      </w:r>
      <w:r>
        <w:rPr>
          <w:sz w:val="24"/>
          <w:szCs w:val="24"/>
        </w:rPr>
        <w:t xml:space="preserve"> 建筑运行期间，宜根据室外环境、时间及噪声变化等实际情况，设置与优化可开启扇的启闭及遮阳装置的状态。</w:t>
      </w:r>
    </w:p>
    <w:p w14:paraId="4805BCE1">
      <w:pPr>
        <w:spacing w:before="120" w:after="120" w:line="312" w:lineRule="auto"/>
        <w:rPr>
          <w:sz w:val="24"/>
          <w:szCs w:val="24"/>
        </w:rPr>
      </w:pPr>
      <w:r>
        <w:rPr>
          <w:b/>
          <w:bCs/>
          <w:sz w:val="24"/>
          <w:szCs w:val="24"/>
        </w:rPr>
        <w:t>6.2.</w:t>
      </w:r>
      <w:r>
        <w:rPr>
          <w:rFonts w:hint="eastAsia"/>
          <w:b/>
          <w:bCs/>
          <w:sz w:val="24"/>
          <w:szCs w:val="24"/>
        </w:rPr>
        <w:t>6</w:t>
      </w:r>
      <w:r>
        <w:rPr>
          <w:sz w:val="24"/>
          <w:szCs w:val="24"/>
        </w:rPr>
        <w:t xml:space="preserve"> 建筑运行期间，宜根据建筑实际情况控制及优化管理室内声环境：</w:t>
      </w:r>
    </w:p>
    <w:p w14:paraId="1F2BD8EF">
      <w:pPr>
        <w:spacing w:before="120" w:after="120" w:line="312" w:lineRule="auto"/>
        <w:ind w:firstLine="482" w:firstLineChars="200"/>
        <w:rPr>
          <w:sz w:val="24"/>
          <w:szCs w:val="24"/>
        </w:rPr>
      </w:pPr>
      <w:r>
        <w:rPr>
          <w:b/>
          <w:bCs/>
          <w:sz w:val="24"/>
          <w:szCs w:val="24"/>
        </w:rPr>
        <w:t xml:space="preserve">1 </w:t>
      </w:r>
      <w:r>
        <w:rPr>
          <w:sz w:val="24"/>
          <w:szCs w:val="24"/>
        </w:rPr>
        <w:t>结合设备维护和保养情况，优化或采取吸音和隔声措施、配置白噪声播放器或声掩蔽设备等措施，控制室内背景噪声；</w:t>
      </w:r>
    </w:p>
    <w:p w14:paraId="702E1074">
      <w:pPr>
        <w:spacing w:before="120" w:after="120" w:line="312" w:lineRule="auto"/>
        <w:ind w:firstLine="482" w:firstLineChars="200"/>
        <w:rPr>
          <w:sz w:val="24"/>
          <w:szCs w:val="24"/>
        </w:rPr>
      </w:pPr>
      <w:bookmarkStart w:id="271" w:name="_Toc21793"/>
      <w:bookmarkStart w:id="272" w:name="_Toc20316"/>
      <w:bookmarkStart w:id="273" w:name="_Toc13233"/>
      <w:r>
        <w:rPr>
          <w:b/>
          <w:bCs/>
          <w:sz w:val="24"/>
          <w:szCs w:val="24"/>
        </w:rPr>
        <w:t xml:space="preserve">2 </w:t>
      </w:r>
      <w:r>
        <w:rPr>
          <w:sz w:val="24"/>
          <w:szCs w:val="24"/>
        </w:rPr>
        <w:t>区分公共空间和私人空间，实现室内背景音乐的控制：</w:t>
      </w:r>
      <w:bookmarkEnd w:id="271"/>
      <w:bookmarkEnd w:id="272"/>
      <w:bookmarkEnd w:id="273"/>
    </w:p>
    <w:p w14:paraId="323A24DB">
      <w:pPr>
        <w:spacing w:before="120" w:after="120" w:line="312" w:lineRule="auto"/>
        <w:ind w:firstLine="480" w:firstLineChars="200"/>
        <w:rPr>
          <w:sz w:val="24"/>
          <w:szCs w:val="24"/>
        </w:rPr>
      </w:pPr>
      <w:r>
        <w:rPr>
          <w:sz w:val="24"/>
          <w:szCs w:val="24"/>
        </w:rPr>
        <w:t>（1）公共空间：根据室内场景与功能，设定并实时更新背景音乐声，创造适宜的声环境；</w:t>
      </w:r>
    </w:p>
    <w:p w14:paraId="7BA4C2FE">
      <w:pPr>
        <w:spacing w:before="120" w:after="120" w:line="312" w:lineRule="auto"/>
        <w:ind w:firstLine="480" w:firstLineChars="200"/>
        <w:rPr>
          <w:sz w:val="24"/>
          <w:szCs w:val="24"/>
        </w:rPr>
      </w:pPr>
      <w:r>
        <w:rPr>
          <w:sz w:val="24"/>
          <w:szCs w:val="24"/>
        </w:rPr>
        <w:t>（2）私人空间：可设置智能播放设备，支持用户独立控制，满足个性化需求。</w:t>
      </w:r>
    </w:p>
    <w:p w14:paraId="254EB056">
      <w:pPr>
        <w:spacing w:before="120" w:after="120" w:line="312" w:lineRule="auto"/>
        <w:rPr>
          <w:sz w:val="24"/>
          <w:szCs w:val="24"/>
        </w:rPr>
      </w:pPr>
      <w:r>
        <w:rPr>
          <w:b/>
          <w:bCs/>
          <w:sz w:val="24"/>
          <w:szCs w:val="24"/>
        </w:rPr>
        <w:t>6.2.</w:t>
      </w:r>
      <w:r>
        <w:rPr>
          <w:rFonts w:hint="eastAsia"/>
          <w:b/>
          <w:bCs/>
          <w:sz w:val="24"/>
          <w:szCs w:val="24"/>
        </w:rPr>
        <w:t>7</w:t>
      </w:r>
      <w:r>
        <w:rPr>
          <w:sz w:val="24"/>
          <w:szCs w:val="24"/>
        </w:rPr>
        <w:t xml:space="preserve"> 对于电磁辐射环境超标的区域，可采用电磁屏蔽材料（如铝箔等）进行必要的屏蔽。</w:t>
      </w:r>
    </w:p>
    <w:p w14:paraId="56CFA43D">
      <w:pPr>
        <w:spacing w:before="120" w:after="120" w:line="312" w:lineRule="auto"/>
        <w:rPr>
          <w:sz w:val="24"/>
          <w:szCs w:val="24"/>
        </w:rPr>
      </w:pPr>
      <w:r>
        <w:rPr>
          <w:b/>
          <w:bCs/>
          <w:sz w:val="24"/>
          <w:szCs w:val="24"/>
        </w:rPr>
        <w:t>6.2.</w:t>
      </w:r>
      <w:r>
        <w:rPr>
          <w:rFonts w:hint="eastAsia"/>
          <w:b/>
          <w:bCs/>
          <w:sz w:val="24"/>
          <w:szCs w:val="24"/>
        </w:rPr>
        <w:t>8</w:t>
      </w:r>
      <w:r>
        <w:rPr>
          <w:sz w:val="24"/>
          <w:szCs w:val="24"/>
        </w:rPr>
        <w:t xml:space="preserve"> 室内不宜摆放大体积的天然石材摆件，如需要摆放，则应进行放射线强度测试。</w:t>
      </w:r>
    </w:p>
    <w:p w14:paraId="76DC9F8F">
      <w:pPr>
        <w:spacing w:before="120" w:after="120" w:line="312" w:lineRule="auto"/>
        <w:rPr>
          <w:sz w:val="24"/>
          <w:szCs w:val="24"/>
        </w:rPr>
      </w:pPr>
      <w:r>
        <w:rPr>
          <w:b/>
          <w:bCs/>
          <w:sz w:val="24"/>
          <w:szCs w:val="24"/>
        </w:rPr>
        <w:t>6.2.</w:t>
      </w:r>
      <w:r>
        <w:rPr>
          <w:rFonts w:hint="eastAsia"/>
          <w:b/>
          <w:bCs/>
          <w:sz w:val="24"/>
          <w:szCs w:val="24"/>
        </w:rPr>
        <w:t>9</w:t>
      </w:r>
      <w:r>
        <w:rPr>
          <w:sz w:val="24"/>
          <w:szCs w:val="24"/>
        </w:rPr>
        <w:t xml:space="preserve"> 结合人工智能技术，采用智慧运行管理平台系统，并满足如下要求：</w:t>
      </w:r>
    </w:p>
    <w:p w14:paraId="08E22444">
      <w:pPr>
        <w:spacing w:before="120" w:after="120" w:line="312" w:lineRule="auto"/>
        <w:ind w:firstLine="482" w:firstLineChars="200"/>
        <w:rPr>
          <w:sz w:val="24"/>
          <w:szCs w:val="24"/>
        </w:rPr>
      </w:pPr>
      <w:r>
        <w:rPr>
          <w:b/>
          <w:bCs/>
          <w:sz w:val="24"/>
          <w:szCs w:val="24"/>
        </w:rPr>
        <w:t>1</w:t>
      </w:r>
      <w:r>
        <w:rPr>
          <w:sz w:val="24"/>
          <w:szCs w:val="24"/>
        </w:rPr>
        <w:t xml:space="preserve"> 数据采集管理：实时采集设备运行情况、室内环境变化、用户行为习惯及反馈等相关数据，接入智慧城市的建筑外部数据，形成数据库； </w:t>
      </w:r>
    </w:p>
    <w:p w14:paraId="66960D28">
      <w:pPr>
        <w:spacing w:before="120" w:after="120" w:line="312" w:lineRule="auto"/>
        <w:ind w:firstLine="482" w:firstLineChars="200"/>
        <w:rPr>
          <w:sz w:val="24"/>
          <w:szCs w:val="24"/>
        </w:rPr>
      </w:pPr>
      <w:r>
        <w:rPr>
          <w:b/>
          <w:bCs/>
          <w:sz w:val="24"/>
          <w:szCs w:val="24"/>
        </w:rPr>
        <w:t xml:space="preserve">2 </w:t>
      </w:r>
      <w:r>
        <w:rPr>
          <w:sz w:val="24"/>
          <w:szCs w:val="24"/>
        </w:rPr>
        <w:t>大数据分析：对项目数据与信息进行集成、整理、分析与归纳，根据大数据进行进一步挖掘整合成环境控制的相关数据；积累运行数据并分析室内环境的运行效果，根据反馈及新要求实时调整室内环境设置参数；</w:t>
      </w:r>
    </w:p>
    <w:p w14:paraId="2583AA2C">
      <w:pPr>
        <w:spacing w:before="120" w:after="120" w:line="312" w:lineRule="auto"/>
        <w:ind w:firstLine="482" w:firstLineChars="200"/>
        <w:rPr>
          <w:sz w:val="24"/>
          <w:szCs w:val="24"/>
        </w:rPr>
      </w:pPr>
      <w:r>
        <w:rPr>
          <w:b/>
          <w:bCs/>
          <w:sz w:val="24"/>
          <w:szCs w:val="24"/>
        </w:rPr>
        <w:t>3</w:t>
      </w:r>
      <w:r>
        <w:rPr>
          <w:sz w:val="24"/>
          <w:szCs w:val="24"/>
        </w:rPr>
        <w:t xml:space="preserve"> 环境监控管理：根据建筑的功能需求和大数据分析结果，实时生成最优室内环境设定方案，智能控制照明、空调、通风、门窗、遮阳等系统设备或系统，使室内达到高品质环境需求。</w:t>
      </w:r>
    </w:p>
    <w:p w14:paraId="47243060">
      <w:pPr>
        <w:spacing w:before="120" w:after="120" w:line="312" w:lineRule="auto"/>
        <w:ind w:firstLine="240" w:firstLineChars="100"/>
        <w:rPr>
          <w:sz w:val="24"/>
          <w:szCs w:val="24"/>
        </w:rPr>
      </w:pPr>
    </w:p>
    <w:p w14:paraId="5260BD46">
      <w:pPr>
        <w:spacing w:before="120" w:after="120" w:line="312" w:lineRule="auto"/>
        <w:jc w:val="center"/>
        <w:outlineLvl w:val="1"/>
        <w:rPr>
          <w:b/>
          <w:bCs/>
          <w:sz w:val="24"/>
          <w:szCs w:val="24"/>
        </w:rPr>
      </w:pPr>
      <w:bookmarkStart w:id="274" w:name="_Toc1131"/>
      <w:bookmarkStart w:id="275" w:name="_Toc12175"/>
      <w:bookmarkStart w:id="276" w:name="_Toc164097277"/>
      <w:bookmarkStart w:id="277" w:name="_Toc32375"/>
      <w:bookmarkStart w:id="278" w:name="_Toc31622"/>
      <w:bookmarkStart w:id="279" w:name="_Toc19353"/>
      <w:bookmarkStart w:id="280" w:name="_Toc11166"/>
      <w:bookmarkStart w:id="281" w:name="_Toc201158907"/>
      <w:bookmarkStart w:id="282" w:name="_Toc10914"/>
      <w:bookmarkStart w:id="283" w:name="_Toc18509"/>
      <w:bookmarkStart w:id="284" w:name="_Toc32655"/>
      <w:bookmarkStart w:id="285" w:name="_Toc16803"/>
      <w:r>
        <w:rPr>
          <w:b/>
          <w:bCs/>
          <w:sz w:val="24"/>
          <w:szCs w:val="24"/>
        </w:rPr>
        <w:t>6.3 化学环境维护</w:t>
      </w:r>
      <w:bookmarkEnd w:id="274"/>
      <w:bookmarkEnd w:id="275"/>
      <w:bookmarkEnd w:id="276"/>
      <w:bookmarkEnd w:id="277"/>
      <w:bookmarkEnd w:id="278"/>
      <w:bookmarkEnd w:id="279"/>
      <w:bookmarkEnd w:id="280"/>
      <w:bookmarkEnd w:id="281"/>
      <w:bookmarkEnd w:id="282"/>
      <w:bookmarkEnd w:id="283"/>
      <w:bookmarkEnd w:id="284"/>
      <w:bookmarkEnd w:id="285"/>
    </w:p>
    <w:p w14:paraId="6449FD92">
      <w:pPr>
        <w:spacing w:before="120" w:after="120" w:line="312" w:lineRule="auto"/>
        <w:rPr>
          <w:b/>
          <w:bCs/>
          <w:sz w:val="24"/>
        </w:rPr>
      </w:pPr>
      <w:r>
        <w:rPr>
          <w:b/>
          <w:bCs/>
          <w:sz w:val="24"/>
          <w:szCs w:val="24"/>
        </w:rPr>
        <w:t xml:space="preserve">6.3.1 </w:t>
      </w:r>
      <w:r>
        <w:rPr>
          <w:sz w:val="24"/>
          <w:szCs w:val="24"/>
        </w:rPr>
        <w:t>运行期间，物业管理或用户应定期检查室内空气质量，实时跟进用户反馈并及时调整，控制设备系统及炊事餐饮等产生的异味，保持室内空气清新度。</w:t>
      </w:r>
    </w:p>
    <w:p w14:paraId="19F8DDA7">
      <w:pPr>
        <w:spacing w:before="120" w:after="120" w:line="312" w:lineRule="auto"/>
        <w:rPr>
          <w:sz w:val="24"/>
          <w:szCs w:val="24"/>
        </w:rPr>
      </w:pPr>
      <w:r>
        <w:rPr>
          <w:b/>
          <w:bCs/>
          <w:sz w:val="24"/>
          <w:szCs w:val="24"/>
        </w:rPr>
        <w:t>6.3.2</w:t>
      </w:r>
      <w:r>
        <w:rPr>
          <w:sz w:val="24"/>
          <w:szCs w:val="24"/>
        </w:rPr>
        <w:t xml:space="preserve"> 空调通风系统在运行期间，应提供足够新风量，并满足如下</w:t>
      </w:r>
      <w:r>
        <w:rPr>
          <w:rFonts w:hint="eastAsia"/>
          <w:sz w:val="24"/>
          <w:szCs w:val="24"/>
        </w:rPr>
        <w:t>规定</w:t>
      </w:r>
      <w:r>
        <w:rPr>
          <w:sz w:val="24"/>
          <w:szCs w:val="24"/>
        </w:rPr>
        <w:t>：</w:t>
      </w:r>
    </w:p>
    <w:p w14:paraId="7B5C00BE">
      <w:pPr>
        <w:spacing w:before="120" w:after="120" w:line="312" w:lineRule="auto"/>
        <w:ind w:firstLine="482" w:firstLineChars="200"/>
        <w:rPr>
          <w:sz w:val="24"/>
          <w:szCs w:val="24"/>
        </w:rPr>
      </w:pPr>
      <w:bookmarkStart w:id="286" w:name="_Toc6669"/>
      <w:bookmarkStart w:id="287" w:name="_Toc8057"/>
      <w:bookmarkStart w:id="288" w:name="_Toc16347"/>
      <w:r>
        <w:rPr>
          <w:b/>
          <w:bCs/>
          <w:sz w:val="24"/>
          <w:szCs w:val="24"/>
        </w:rPr>
        <w:t xml:space="preserve">1 </w:t>
      </w:r>
      <w:r>
        <w:rPr>
          <w:sz w:val="24"/>
          <w:szCs w:val="24"/>
        </w:rPr>
        <w:t>确保室内新风量不低于设计值</w:t>
      </w:r>
      <w:bookmarkEnd w:id="286"/>
      <w:bookmarkEnd w:id="287"/>
      <w:bookmarkEnd w:id="288"/>
      <w:r>
        <w:rPr>
          <w:sz w:val="24"/>
          <w:szCs w:val="24"/>
        </w:rPr>
        <w:t>；</w:t>
      </w:r>
    </w:p>
    <w:p w14:paraId="13957841">
      <w:pPr>
        <w:spacing w:before="120" w:after="120" w:line="312" w:lineRule="auto"/>
        <w:ind w:firstLine="482" w:firstLineChars="200"/>
        <w:rPr>
          <w:sz w:val="24"/>
          <w:szCs w:val="24"/>
        </w:rPr>
      </w:pPr>
      <w:r>
        <w:rPr>
          <w:b/>
          <w:bCs/>
          <w:sz w:val="24"/>
          <w:szCs w:val="24"/>
        </w:rPr>
        <w:t xml:space="preserve">2 </w:t>
      </w:r>
      <w:r>
        <w:rPr>
          <w:sz w:val="24"/>
          <w:szCs w:val="24"/>
        </w:rPr>
        <w:t>人员密度大且变化频繁的场所，新风量应可调节，并根据室内二氧化碳浓度自动调节；</w:t>
      </w:r>
    </w:p>
    <w:p w14:paraId="68331992">
      <w:pPr>
        <w:spacing w:before="120" w:after="120" w:line="312" w:lineRule="auto"/>
        <w:ind w:firstLine="482" w:firstLineChars="200"/>
        <w:rPr>
          <w:sz w:val="24"/>
          <w:szCs w:val="24"/>
        </w:rPr>
      </w:pPr>
      <w:r>
        <w:rPr>
          <w:b/>
          <w:bCs/>
          <w:sz w:val="24"/>
          <w:szCs w:val="24"/>
        </w:rPr>
        <w:t xml:space="preserve">3 </w:t>
      </w:r>
      <w:r>
        <w:rPr>
          <w:sz w:val="24"/>
          <w:szCs w:val="24"/>
        </w:rPr>
        <w:t>对室内新风进行监控，确保空调房间内二氧化碳浓度不大于500 ppm（1小时平均）；</w:t>
      </w:r>
    </w:p>
    <w:p w14:paraId="0B68EC94">
      <w:pPr>
        <w:spacing w:before="120" w:after="120" w:line="312" w:lineRule="auto"/>
        <w:ind w:firstLine="482" w:firstLineChars="200"/>
        <w:rPr>
          <w:sz w:val="24"/>
          <w:szCs w:val="24"/>
        </w:rPr>
      </w:pPr>
      <w:r>
        <w:rPr>
          <w:b/>
          <w:bCs/>
          <w:sz w:val="24"/>
          <w:szCs w:val="24"/>
        </w:rPr>
        <w:t>4</w:t>
      </w:r>
      <w:r>
        <w:rPr>
          <w:sz w:val="24"/>
          <w:szCs w:val="24"/>
        </w:rPr>
        <w:t xml:space="preserve"> 控制运行期间建筑室内的氨、甲醛、苯、总挥发性有机物、氡等污染物浓度比现行国家标准《室内空气质量标准》GB/T 18883规定限值低20%。</w:t>
      </w:r>
    </w:p>
    <w:p w14:paraId="5348AAE1">
      <w:pPr>
        <w:spacing w:before="120" w:after="120" w:line="312" w:lineRule="auto"/>
        <w:jc w:val="left"/>
        <w:rPr>
          <w:sz w:val="24"/>
          <w:szCs w:val="24"/>
        </w:rPr>
      </w:pPr>
      <w:r>
        <w:rPr>
          <w:b/>
          <w:bCs/>
          <w:sz w:val="24"/>
          <w:szCs w:val="24"/>
        </w:rPr>
        <w:t>6.3.3</w:t>
      </w:r>
      <w:r>
        <w:rPr>
          <w:sz w:val="24"/>
          <w:szCs w:val="24"/>
        </w:rPr>
        <w:t xml:space="preserve"> 采用无公害病虫害防治技术和清洁技术，确保杀虫剂、除草剂、化肥、农药、清洁剂等化学用品的使用符合规范、安全，并做好记录和公示。</w:t>
      </w:r>
    </w:p>
    <w:p w14:paraId="434010A8">
      <w:pPr>
        <w:spacing w:before="120" w:after="120" w:line="312" w:lineRule="auto"/>
        <w:jc w:val="left"/>
        <w:rPr>
          <w:rFonts w:hint="eastAsia" w:ascii="仿宋_GB2312" w:hAnsi="宋体" w:eastAsia="仿宋_GB2312"/>
          <w:color w:val="4F81BD" w:themeColor="accent1"/>
          <w:sz w:val="24"/>
          <w:szCs w:val="24"/>
          <w:u w:val="single"/>
          <w14:textFill>
            <w14:solidFill>
              <w14:schemeClr w14:val="accent1"/>
            </w14:solidFill>
          </w14:textFill>
        </w:rPr>
      </w:pPr>
    </w:p>
    <w:p w14:paraId="0BCBC2B8">
      <w:pPr>
        <w:spacing w:before="120" w:after="120" w:line="312" w:lineRule="auto"/>
        <w:jc w:val="left"/>
        <w:rPr>
          <w:sz w:val="24"/>
          <w:szCs w:val="24"/>
        </w:rPr>
      </w:pPr>
    </w:p>
    <w:p w14:paraId="22F9BD79">
      <w:pPr>
        <w:spacing w:before="120" w:after="120" w:line="312" w:lineRule="auto"/>
        <w:jc w:val="center"/>
        <w:outlineLvl w:val="1"/>
        <w:rPr>
          <w:b/>
          <w:bCs/>
          <w:sz w:val="24"/>
          <w:szCs w:val="24"/>
        </w:rPr>
      </w:pPr>
      <w:bookmarkStart w:id="289" w:name="_Toc14915"/>
      <w:bookmarkStart w:id="290" w:name="_Toc31908"/>
      <w:bookmarkStart w:id="291" w:name="_Toc1328"/>
      <w:bookmarkStart w:id="292" w:name="_Toc29502"/>
      <w:bookmarkStart w:id="293" w:name="_Toc201158908"/>
      <w:bookmarkStart w:id="294" w:name="_Toc25540"/>
      <w:bookmarkStart w:id="295" w:name="_Toc22466"/>
      <w:bookmarkStart w:id="296" w:name="_Toc164097278"/>
      <w:bookmarkStart w:id="297" w:name="_Toc9819"/>
      <w:bookmarkStart w:id="298" w:name="_Toc21385"/>
      <w:bookmarkStart w:id="299" w:name="_Toc9832"/>
      <w:bookmarkStart w:id="300" w:name="_Toc22750"/>
      <w:r>
        <w:rPr>
          <w:b/>
          <w:bCs/>
          <w:sz w:val="24"/>
          <w:szCs w:val="24"/>
        </w:rPr>
        <w:t>6.4 生物环境维护</w:t>
      </w:r>
      <w:bookmarkEnd w:id="289"/>
      <w:bookmarkEnd w:id="290"/>
      <w:bookmarkEnd w:id="291"/>
      <w:bookmarkEnd w:id="292"/>
      <w:bookmarkEnd w:id="293"/>
      <w:bookmarkEnd w:id="294"/>
      <w:bookmarkEnd w:id="295"/>
      <w:bookmarkEnd w:id="296"/>
      <w:bookmarkEnd w:id="297"/>
      <w:bookmarkEnd w:id="298"/>
      <w:bookmarkEnd w:id="299"/>
      <w:bookmarkEnd w:id="300"/>
    </w:p>
    <w:p w14:paraId="61E6A060">
      <w:pPr>
        <w:spacing w:before="120" w:after="120" w:line="312" w:lineRule="auto"/>
        <w:rPr>
          <w:sz w:val="24"/>
          <w:szCs w:val="24"/>
        </w:rPr>
      </w:pPr>
      <w:r>
        <w:rPr>
          <w:b/>
          <w:bCs/>
          <w:sz w:val="24"/>
          <w:szCs w:val="24"/>
        </w:rPr>
        <w:t>6.4.1</w:t>
      </w:r>
      <w:r>
        <w:rPr>
          <w:sz w:val="24"/>
          <w:szCs w:val="24"/>
        </w:rPr>
        <w:t>建筑运行期间，物业管理或用户应合理选用和养护室内植物：</w:t>
      </w:r>
    </w:p>
    <w:p w14:paraId="67A35F69">
      <w:pPr>
        <w:spacing w:before="120" w:after="120" w:line="312" w:lineRule="auto"/>
        <w:ind w:firstLine="482" w:firstLineChars="200"/>
        <w:rPr>
          <w:sz w:val="24"/>
          <w:szCs w:val="24"/>
        </w:rPr>
      </w:pPr>
      <w:bookmarkStart w:id="301" w:name="_Toc20013"/>
      <w:bookmarkStart w:id="302" w:name="_Toc20782"/>
      <w:bookmarkStart w:id="303" w:name="_Toc4979"/>
      <w:r>
        <w:rPr>
          <w:b/>
          <w:bCs/>
          <w:sz w:val="24"/>
          <w:szCs w:val="24"/>
        </w:rPr>
        <w:t xml:space="preserve">1 </w:t>
      </w:r>
      <w:r>
        <w:rPr>
          <w:sz w:val="24"/>
          <w:szCs w:val="24"/>
        </w:rPr>
        <w:t>避免有毒、有害、带刺或有刺激性气味的植物</w:t>
      </w:r>
      <w:bookmarkEnd w:id="301"/>
      <w:bookmarkEnd w:id="302"/>
      <w:bookmarkEnd w:id="303"/>
      <w:r>
        <w:rPr>
          <w:sz w:val="24"/>
          <w:szCs w:val="24"/>
        </w:rPr>
        <w:t>；</w:t>
      </w:r>
    </w:p>
    <w:p w14:paraId="01902580">
      <w:pPr>
        <w:spacing w:before="120" w:after="120" w:line="312" w:lineRule="auto"/>
        <w:ind w:firstLine="482" w:firstLineChars="200"/>
        <w:rPr>
          <w:sz w:val="24"/>
          <w:szCs w:val="24"/>
        </w:rPr>
      </w:pPr>
      <w:r>
        <w:rPr>
          <w:b/>
          <w:bCs/>
          <w:sz w:val="24"/>
          <w:szCs w:val="24"/>
        </w:rPr>
        <w:t xml:space="preserve">2 </w:t>
      </w:r>
      <w:r>
        <w:rPr>
          <w:sz w:val="24"/>
          <w:szCs w:val="24"/>
        </w:rPr>
        <w:t>关注易过敏人群的环境安全，尽量减少或避免选种致敏性植物，若选种，应及时进行去花粉处理；</w:t>
      </w:r>
    </w:p>
    <w:p w14:paraId="11FB57A0">
      <w:pPr>
        <w:spacing w:before="120" w:after="120" w:line="312" w:lineRule="auto"/>
        <w:ind w:firstLine="482" w:firstLineChars="200"/>
        <w:rPr>
          <w:sz w:val="24"/>
          <w:szCs w:val="24"/>
        </w:rPr>
      </w:pPr>
      <w:bookmarkStart w:id="304" w:name="_Toc4824"/>
      <w:bookmarkStart w:id="305" w:name="_Toc27213"/>
      <w:bookmarkStart w:id="306" w:name="_Toc11610"/>
      <w:r>
        <w:rPr>
          <w:b/>
          <w:bCs/>
          <w:sz w:val="24"/>
          <w:szCs w:val="24"/>
        </w:rPr>
        <w:t>3</w:t>
      </w:r>
      <w:r>
        <w:rPr>
          <w:sz w:val="24"/>
          <w:szCs w:val="24"/>
        </w:rPr>
        <w:t xml:space="preserve"> 根据室内设计风格选择植物类型及摆放位置</w:t>
      </w:r>
      <w:bookmarkEnd w:id="304"/>
      <w:bookmarkEnd w:id="305"/>
      <w:bookmarkEnd w:id="306"/>
      <w:r>
        <w:rPr>
          <w:sz w:val="24"/>
          <w:szCs w:val="24"/>
        </w:rPr>
        <w:t>；</w:t>
      </w:r>
    </w:p>
    <w:p w14:paraId="725D4A79">
      <w:pPr>
        <w:spacing w:before="120" w:after="120" w:line="312" w:lineRule="auto"/>
        <w:ind w:firstLine="482" w:firstLineChars="200"/>
        <w:rPr>
          <w:sz w:val="24"/>
          <w:szCs w:val="24"/>
        </w:rPr>
      </w:pPr>
      <w:r>
        <w:rPr>
          <w:b/>
          <w:bCs/>
          <w:sz w:val="24"/>
          <w:szCs w:val="24"/>
        </w:rPr>
        <w:t xml:space="preserve">4 </w:t>
      </w:r>
      <w:r>
        <w:rPr>
          <w:sz w:val="24"/>
          <w:szCs w:val="24"/>
        </w:rPr>
        <w:t>定期对室内植物进行养护与修剪，关注植物的健康状态及造型美化效果。</w:t>
      </w:r>
    </w:p>
    <w:p w14:paraId="7FFEF5E2">
      <w:pPr>
        <w:spacing w:before="120" w:after="120" w:line="312" w:lineRule="auto"/>
        <w:rPr>
          <w:b/>
          <w:bCs/>
          <w:sz w:val="24"/>
        </w:rPr>
      </w:pPr>
      <w:r>
        <w:rPr>
          <w:b/>
          <w:bCs/>
          <w:sz w:val="24"/>
          <w:szCs w:val="24"/>
        </w:rPr>
        <w:t>6.4.2</w:t>
      </w:r>
      <w:r>
        <w:rPr>
          <w:sz w:val="24"/>
          <w:szCs w:val="24"/>
        </w:rPr>
        <w:t>定期清扫公共区域，确保公共区域环境保持整洁、干净。加强对室内卫生死角的定期检查与清洁，防止霉菌及病虫的害滋生。</w:t>
      </w:r>
    </w:p>
    <w:p w14:paraId="735699C6">
      <w:pPr>
        <w:spacing w:before="120" w:after="120" w:line="312" w:lineRule="auto"/>
        <w:rPr>
          <w:b/>
          <w:bCs/>
          <w:sz w:val="24"/>
        </w:rPr>
      </w:pPr>
    </w:p>
    <w:p w14:paraId="5C56288E">
      <w:pPr>
        <w:spacing w:before="120" w:after="120" w:line="312" w:lineRule="auto"/>
        <w:rPr>
          <w:b/>
          <w:bCs/>
          <w:sz w:val="24"/>
        </w:rPr>
      </w:pPr>
      <w:r>
        <w:rPr>
          <w:b/>
          <w:bCs/>
          <w:sz w:val="24"/>
          <w:szCs w:val="24"/>
        </w:rPr>
        <w:t>6.4.3</w:t>
      </w:r>
      <w:r>
        <w:rPr>
          <w:sz w:val="24"/>
          <w:szCs w:val="24"/>
        </w:rPr>
        <w:t xml:space="preserve"> 制定并实施空调通风系统运行与维护管理计划，按照国家现行标准《空调通风系统运行管理标准》GB50365进行日常清理及定期维护保养，按规定频次清洗风口、风管、过滤网，及时更换部件，保持设备系统的清洁，防止细菌、病毒及虫害的滋生。</w:t>
      </w:r>
    </w:p>
    <w:p w14:paraId="313EDDD5">
      <w:pPr>
        <w:spacing w:before="120" w:after="120" w:line="312" w:lineRule="auto"/>
        <w:rPr>
          <w:sz w:val="24"/>
          <w:szCs w:val="24"/>
        </w:rPr>
      </w:pPr>
      <w:r>
        <w:rPr>
          <w:b/>
          <w:bCs/>
          <w:sz w:val="24"/>
          <w:szCs w:val="24"/>
        </w:rPr>
        <w:t>6.4.4</w:t>
      </w:r>
      <w:r>
        <w:rPr>
          <w:sz w:val="24"/>
          <w:szCs w:val="24"/>
        </w:rPr>
        <w:t xml:space="preserve"> 加强公共环境卫生保障，建立并实施清洁卫生、霉菌控制、害虫预防与消杀工作管理制度，采用绿色环保清洁用品及无公害病虫害防治技术，确保室内环境干燥整洁，防止霉菌滋生，并根据室外环境变化预防蚊子、螨虫、蟑螂、蚂蚁、白蚁、老鼠等害虫。</w:t>
      </w:r>
    </w:p>
    <w:p w14:paraId="0296A429">
      <w:pPr>
        <w:spacing w:before="120" w:after="120" w:line="312" w:lineRule="auto"/>
        <w:jc w:val="center"/>
        <w:outlineLvl w:val="1"/>
        <w:rPr>
          <w:b/>
          <w:bCs/>
          <w:sz w:val="24"/>
          <w:szCs w:val="24"/>
        </w:rPr>
      </w:pPr>
      <w:bookmarkStart w:id="307" w:name="_Toc201158909"/>
      <w:bookmarkStart w:id="308" w:name="_Toc8609"/>
      <w:bookmarkStart w:id="309" w:name="_Toc2681"/>
      <w:bookmarkStart w:id="310" w:name="_Toc17431"/>
      <w:bookmarkStart w:id="311" w:name="_Toc4822"/>
      <w:bookmarkStart w:id="312" w:name="_Toc5869"/>
      <w:bookmarkStart w:id="313" w:name="_Toc10200"/>
      <w:bookmarkStart w:id="314" w:name="_Toc3"/>
      <w:bookmarkStart w:id="315" w:name="_Toc29808"/>
      <w:bookmarkStart w:id="316" w:name="_Toc27151"/>
      <w:bookmarkStart w:id="317" w:name="_Toc7134"/>
      <w:bookmarkStart w:id="318" w:name="_Toc164097279"/>
      <w:r>
        <w:rPr>
          <w:b/>
          <w:bCs/>
          <w:sz w:val="24"/>
          <w:szCs w:val="24"/>
        </w:rPr>
        <w:t>6.5 精神环境维护</w:t>
      </w:r>
      <w:bookmarkEnd w:id="307"/>
      <w:bookmarkEnd w:id="308"/>
      <w:bookmarkEnd w:id="309"/>
      <w:bookmarkEnd w:id="310"/>
      <w:bookmarkEnd w:id="311"/>
      <w:bookmarkEnd w:id="312"/>
      <w:bookmarkEnd w:id="313"/>
      <w:bookmarkEnd w:id="314"/>
      <w:bookmarkEnd w:id="315"/>
      <w:bookmarkEnd w:id="316"/>
      <w:bookmarkEnd w:id="317"/>
      <w:bookmarkEnd w:id="318"/>
    </w:p>
    <w:p w14:paraId="68245969">
      <w:pPr>
        <w:spacing w:before="120" w:after="120" w:line="312" w:lineRule="auto"/>
        <w:rPr>
          <w:b/>
          <w:bCs/>
          <w:sz w:val="24"/>
        </w:rPr>
      </w:pPr>
      <w:r>
        <w:rPr>
          <w:b/>
          <w:bCs/>
          <w:sz w:val="24"/>
          <w:szCs w:val="24"/>
        </w:rPr>
        <w:t xml:space="preserve">6.5.1 </w:t>
      </w:r>
      <w:r>
        <w:rPr>
          <w:sz w:val="24"/>
          <w:szCs w:val="24"/>
        </w:rPr>
        <w:t>建筑运行期间，宜根据装修风格、室内功能、人群特性及心理需求，调节房间天花板和墙壁的色彩与图案，必要时，可通过灯光效果或电子投影系统进行调节，创造适宜的氛围。</w:t>
      </w:r>
    </w:p>
    <w:p w14:paraId="35B01BE0">
      <w:pPr>
        <w:spacing w:before="120" w:after="120" w:line="312" w:lineRule="auto"/>
        <w:rPr>
          <w:b/>
          <w:bCs/>
          <w:sz w:val="24"/>
        </w:rPr>
      </w:pPr>
      <w:r>
        <w:rPr>
          <w:b/>
          <w:bCs/>
          <w:sz w:val="24"/>
          <w:szCs w:val="24"/>
        </w:rPr>
        <w:t xml:space="preserve">6.5.2 </w:t>
      </w:r>
      <w:r>
        <w:rPr>
          <w:sz w:val="24"/>
          <w:szCs w:val="24"/>
        </w:rPr>
        <w:t>在展馆、商场、医院等特殊场所，应根据场景与功能需求，安装创意性照明装置及多媒体设备，通过预设灯光及投影效果等实现光影设计，营造氛围。</w:t>
      </w:r>
    </w:p>
    <w:p w14:paraId="67AF32C3">
      <w:pPr>
        <w:spacing w:before="120" w:after="120" w:line="312" w:lineRule="auto"/>
        <w:rPr>
          <w:b/>
          <w:bCs/>
          <w:sz w:val="24"/>
        </w:rPr>
      </w:pPr>
      <w:r>
        <w:rPr>
          <w:b/>
          <w:bCs/>
          <w:sz w:val="24"/>
          <w:szCs w:val="24"/>
        </w:rPr>
        <w:t>6.5.3</w:t>
      </w:r>
      <w:r>
        <w:rPr>
          <w:sz w:val="24"/>
          <w:szCs w:val="24"/>
        </w:rPr>
        <w:t xml:space="preserve"> 房间的家具布局、装饰部品构件及材料的选择UI布置，应与实际功能、用户需求、场景氛围和文化艺术风格协调一致。</w:t>
      </w:r>
      <w:r>
        <w:rPr>
          <w:rFonts w:hint="eastAsia"/>
          <w:sz w:val="24"/>
          <w:szCs w:val="24"/>
        </w:rPr>
        <w:t>硬质地面的桌椅应设柔性垫或脚套（避免噪音、滑动）。</w:t>
      </w:r>
      <w:r>
        <w:rPr>
          <w:sz w:val="24"/>
          <w:szCs w:val="24"/>
        </w:rPr>
        <w:t>在展会及大型活动中，应结合活动类型及场景需求，设计与布置现场灯光等物理设施及多媒体系统等数字场景。</w:t>
      </w:r>
    </w:p>
    <w:p w14:paraId="2E853568">
      <w:pPr>
        <w:spacing w:before="120" w:after="120" w:line="312" w:lineRule="auto"/>
        <w:rPr>
          <w:b/>
          <w:bCs/>
          <w:sz w:val="24"/>
          <w:szCs w:val="24"/>
          <w:lang w:val="en-GB"/>
        </w:rPr>
      </w:pPr>
      <w:bookmarkStart w:id="319" w:name="_Toc26310"/>
      <w:bookmarkStart w:id="320" w:name="_Toc201158910"/>
      <w:bookmarkStart w:id="321" w:name="_Toc31929"/>
      <w:bookmarkStart w:id="322" w:name="_Toc5035"/>
      <w:r>
        <w:rPr>
          <w:b/>
          <w:bCs/>
          <w:sz w:val="24"/>
          <w:szCs w:val="24"/>
        </w:rPr>
        <w:t>6.5.4</w:t>
      </w:r>
      <w:r>
        <w:rPr>
          <w:sz w:val="24"/>
          <w:szCs w:val="24"/>
        </w:rPr>
        <w:t xml:space="preserve"> 建筑室内空间不宜悬挂吊挂物、拉绳、拉线、刀剑等，不应有尖锐的家具、摆设等，所有独立摆放的物体应牢固固定，通道应保持畅通，不得堆放杂物。</w:t>
      </w:r>
      <w:bookmarkEnd w:id="319"/>
      <w:bookmarkEnd w:id="320"/>
      <w:bookmarkEnd w:id="321"/>
      <w:bookmarkEnd w:id="322"/>
    </w:p>
    <w:p w14:paraId="475EA3F5">
      <w:pPr>
        <w:spacing w:before="120" w:after="120" w:line="312" w:lineRule="auto"/>
        <w:rPr>
          <w:sz w:val="24"/>
          <w:szCs w:val="24"/>
        </w:rPr>
      </w:pPr>
      <w:bookmarkStart w:id="323" w:name="_Toc15223"/>
      <w:bookmarkStart w:id="324" w:name="_Toc31550"/>
      <w:bookmarkStart w:id="325" w:name="_Toc528"/>
      <w:bookmarkStart w:id="326" w:name="_Toc201158911"/>
      <w:r>
        <w:rPr>
          <w:b/>
          <w:bCs/>
          <w:sz w:val="24"/>
          <w:szCs w:val="24"/>
        </w:rPr>
        <w:t xml:space="preserve">6.5.5 </w:t>
      </w:r>
      <w:r>
        <w:rPr>
          <w:sz w:val="24"/>
          <w:szCs w:val="24"/>
        </w:rPr>
        <w:t>室内窗帘或调光玻璃应根据室内活动场景或照明需求进行调节，同时确保私密性。</w:t>
      </w:r>
      <w:bookmarkEnd w:id="323"/>
      <w:bookmarkEnd w:id="324"/>
      <w:bookmarkEnd w:id="325"/>
      <w:bookmarkEnd w:id="326"/>
    </w:p>
    <w:p w14:paraId="14C4CB4B">
      <w:pPr>
        <w:spacing w:before="120" w:after="120" w:line="312" w:lineRule="auto"/>
        <w:jc w:val="center"/>
        <w:rPr>
          <w:b/>
          <w:bCs/>
          <w:sz w:val="24"/>
          <w:szCs w:val="24"/>
        </w:rPr>
      </w:pPr>
      <w:bookmarkStart w:id="327" w:name="_Toc15898"/>
      <w:bookmarkStart w:id="328" w:name="_Toc15577"/>
      <w:bookmarkStart w:id="329" w:name="_Toc18551"/>
      <w:bookmarkStart w:id="330" w:name="_Toc6"/>
      <w:bookmarkStart w:id="331" w:name="_Toc164097280"/>
      <w:bookmarkStart w:id="332" w:name="_Toc30849"/>
    </w:p>
    <w:p w14:paraId="5CB7B531">
      <w:pPr>
        <w:spacing w:before="120" w:after="120" w:line="312" w:lineRule="auto"/>
        <w:jc w:val="center"/>
        <w:outlineLvl w:val="1"/>
        <w:rPr>
          <w:b/>
          <w:bCs/>
          <w:sz w:val="24"/>
          <w:szCs w:val="24"/>
        </w:rPr>
      </w:pPr>
      <w:bookmarkStart w:id="333" w:name="_Toc201158912"/>
      <w:bookmarkStart w:id="334" w:name="_Toc13687"/>
      <w:bookmarkStart w:id="335" w:name="_Toc22533"/>
      <w:bookmarkStart w:id="336" w:name="_Toc11535"/>
      <w:bookmarkStart w:id="337" w:name="_Toc12341"/>
      <w:bookmarkStart w:id="338" w:name="_Toc1467"/>
      <w:r>
        <w:rPr>
          <w:b/>
          <w:bCs/>
          <w:sz w:val="24"/>
          <w:szCs w:val="24"/>
        </w:rPr>
        <w:t>6.6 人本关怀维护</w:t>
      </w:r>
      <w:bookmarkEnd w:id="327"/>
      <w:bookmarkEnd w:id="328"/>
      <w:bookmarkEnd w:id="329"/>
      <w:bookmarkEnd w:id="330"/>
      <w:bookmarkEnd w:id="331"/>
      <w:bookmarkEnd w:id="332"/>
      <w:bookmarkEnd w:id="333"/>
      <w:bookmarkEnd w:id="334"/>
      <w:bookmarkEnd w:id="335"/>
      <w:bookmarkEnd w:id="336"/>
      <w:bookmarkEnd w:id="337"/>
      <w:bookmarkEnd w:id="338"/>
    </w:p>
    <w:p w14:paraId="0EAEF471">
      <w:pPr>
        <w:spacing w:before="120" w:after="120" w:line="312" w:lineRule="auto"/>
        <w:rPr>
          <w:sz w:val="24"/>
          <w:szCs w:val="24"/>
        </w:rPr>
      </w:pPr>
      <w:r>
        <w:rPr>
          <w:b/>
          <w:bCs/>
          <w:sz w:val="24"/>
          <w:szCs w:val="24"/>
        </w:rPr>
        <w:t>6.6.1</w:t>
      </w:r>
      <w:r>
        <w:rPr>
          <w:sz w:val="24"/>
          <w:szCs w:val="24"/>
        </w:rPr>
        <w:t xml:space="preserve"> 运行期间，室内环境设定应根据实际情况考虑人本关怀：</w:t>
      </w:r>
    </w:p>
    <w:p w14:paraId="68E44C25">
      <w:pPr>
        <w:spacing w:before="120" w:after="120" w:line="312" w:lineRule="auto"/>
        <w:ind w:firstLine="480" w:firstLineChars="200"/>
        <w:rPr>
          <w:sz w:val="24"/>
          <w:szCs w:val="24"/>
        </w:rPr>
      </w:pPr>
      <w:r>
        <w:rPr>
          <w:sz w:val="24"/>
          <w:szCs w:val="24"/>
        </w:rPr>
        <w:t>1 夏季室内温度不应低于24℃，冬季不应高于24℃；</w:t>
      </w:r>
    </w:p>
    <w:p w14:paraId="194A1105">
      <w:pPr>
        <w:spacing w:before="120" w:after="120" w:line="312" w:lineRule="auto"/>
        <w:ind w:firstLine="480" w:firstLineChars="200"/>
        <w:rPr>
          <w:sz w:val="24"/>
          <w:szCs w:val="24"/>
        </w:rPr>
      </w:pPr>
      <w:r>
        <w:rPr>
          <w:sz w:val="24"/>
          <w:szCs w:val="24"/>
        </w:rPr>
        <w:t>2 老年人、女性所在场所应保持适宜的温度和风速，必要时可适当调高空调温度；</w:t>
      </w:r>
    </w:p>
    <w:p w14:paraId="497B9DAB">
      <w:pPr>
        <w:spacing w:before="120" w:after="120" w:line="312" w:lineRule="auto"/>
        <w:ind w:firstLine="480" w:firstLineChars="200"/>
        <w:rPr>
          <w:sz w:val="24"/>
          <w:szCs w:val="24"/>
        </w:rPr>
      </w:pPr>
      <w:r>
        <w:rPr>
          <w:sz w:val="24"/>
          <w:szCs w:val="24"/>
        </w:rPr>
        <w:t>3 空调风不应直接吹向头部</w:t>
      </w:r>
      <w:r>
        <w:rPr>
          <w:rFonts w:hint="eastAsia"/>
          <w:sz w:val="24"/>
          <w:szCs w:val="24"/>
        </w:rPr>
        <w:t>，否则应设置挡风板等；</w:t>
      </w:r>
    </w:p>
    <w:p w14:paraId="265C9372">
      <w:pPr>
        <w:spacing w:before="120" w:after="120" w:line="312" w:lineRule="auto"/>
        <w:ind w:firstLine="480" w:firstLineChars="200"/>
        <w:rPr>
          <w:sz w:val="24"/>
          <w:szCs w:val="24"/>
        </w:rPr>
      </w:pPr>
      <w:r>
        <w:rPr>
          <w:sz w:val="24"/>
          <w:szCs w:val="24"/>
        </w:rPr>
        <w:t>4 室内相对湿度应控制在70%以下；</w:t>
      </w:r>
    </w:p>
    <w:p w14:paraId="48914C96">
      <w:pPr>
        <w:spacing w:before="120" w:after="120" w:line="312" w:lineRule="auto"/>
        <w:ind w:firstLine="480" w:firstLineChars="200"/>
        <w:rPr>
          <w:b/>
          <w:bCs/>
          <w:sz w:val="24"/>
        </w:rPr>
      </w:pPr>
      <w:r>
        <w:rPr>
          <w:sz w:val="24"/>
          <w:szCs w:val="24"/>
        </w:rPr>
        <w:t>5 老年人或女性长时间驻留的房间应选用柔和灯光，光源应有灯罩且色温不应高于4700K。</w:t>
      </w:r>
    </w:p>
    <w:p w14:paraId="0933FDF9">
      <w:pPr>
        <w:spacing w:before="120" w:after="120" w:line="312" w:lineRule="auto"/>
        <w:rPr>
          <w:b/>
          <w:bCs/>
          <w:sz w:val="24"/>
        </w:rPr>
      </w:pPr>
      <w:r>
        <w:rPr>
          <w:b/>
          <w:bCs/>
          <w:sz w:val="24"/>
          <w:szCs w:val="24"/>
        </w:rPr>
        <w:t>6.6.2</w:t>
      </w:r>
      <w:r>
        <w:rPr>
          <w:sz w:val="24"/>
          <w:szCs w:val="24"/>
        </w:rPr>
        <w:t xml:space="preserve"> 老人、儿童、病患等特殊人群聚集的活动场所，宜选用导热系数小及柔软度高的家具表面材料，避免采用金属等导热系数较大且硬度高的材料。宜在建筑物公共区域安装智能摄像头，对摔倒、攀爬等意外或危险行为进行监控与报警。</w:t>
      </w:r>
    </w:p>
    <w:p w14:paraId="468548B6">
      <w:pPr>
        <w:spacing w:before="120" w:after="120" w:line="312" w:lineRule="auto"/>
        <w:rPr>
          <w:sz w:val="24"/>
          <w:szCs w:val="24"/>
        </w:rPr>
      </w:pPr>
      <w:r>
        <w:rPr>
          <w:b/>
          <w:bCs/>
          <w:sz w:val="24"/>
          <w:szCs w:val="24"/>
        </w:rPr>
        <w:t>6.6.3</w:t>
      </w:r>
      <w:r>
        <w:rPr>
          <w:sz w:val="24"/>
          <w:szCs w:val="24"/>
        </w:rPr>
        <w:t xml:space="preserve"> 婴幼儿、儿童长时间驻留的房间，应合理控制其温度、湿度、风速、日照、照明和色彩，婴幼儿房间不应有强光照射或强烈的炫光。同时确保栏杆、扶手、防滑设施、台阶等满足安全要求。</w:t>
      </w:r>
    </w:p>
    <w:p w14:paraId="02435A2B">
      <w:pPr>
        <w:spacing w:before="120" w:after="120" w:line="312" w:lineRule="auto"/>
        <w:rPr>
          <w:sz w:val="24"/>
          <w:szCs w:val="24"/>
        </w:rPr>
      </w:pPr>
      <w:r>
        <w:rPr>
          <w:b/>
          <w:bCs/>
          <w:sz w:val="24"/>
          <w:szCs w:val="24"/>
        </w:rPr>
        <w:t>6.6.4 在</w:t>
      </w:r>
      <w:r>
        <w:rPr>
          <w:sz w:val="24"/>
          <w:szCs w:val="24"/>
        </w:rPr>
        <w:t>城市重要公共建筑和居住区宜配备体外除颤仪（AED）及紧急包扎设备，并定期对管理人员进行急救培训。</w:t>
      </w:r>
    </w:p>
    <w:p w14:paraId="6CE6D43F">
      <w:pPr>
        <w:spacing w:before="120" w:after="120" w:line="312" w:lineRule="auto"/>
        <w:rPr>
          <w:sz w:val="24"/>
          <w:szCs w:val="24"/>
        </w:rPr>
      </w:pPr>
      <w:r>
        <w:rPr>
          <w:b/>
          <w:bCs/>
          <w:sz w:val="24"/>
          <w:szCs w:val="24"/>
        </w:rPr>
        <w:t xml:space="preserve">6.6.5 </w:t>
      </w:r>
      <w:r>
        <w:rPr>
          <w:sz w:val="24"/>
          <w:szCs w:val="24"/>
        </w:rPr>
        <w:t>运行期间，物业管理宜结合建筑功能、场景和风格需求，按需更新标识系统：</w:t>
      </w:r>
    </w:p>
    <w:p w14:paraId="6E6970AB">
      <w:pPr>
        <w:spacing w:before="120" w:after="120" w:line="312" w:lineRule="auto"/>
        <w:ind w:firstLine="482" w:firstLineChars="200"/>
        <w:rPr>
          <w:sz w:val="24"/>
          <w:szCs w:val="24"/>
        </w:rPr>
      </w:pPr>
      <w:r>
        <w:rPr>
          <w:b/>
          <w:bCs/>
          <w:sz w:val="24"/>
          <w:szCs w:val="24"/>
        </w:rPr>
        <w:t>1</w:t>
      </w:r>
      <w:r>
        <w:rPr>
          <w:sz w:val="24"/>
          <w:szCs w:val="24"/>
        </w:rPr>
        <w:t xml:space="preserve"> 需结合空间实际功能与用户需求，更新人行流线及相关标识，同时可通过家具与部品的布局、室内色彩与照明的设计、可移动构件的设置等方式进行调整。</w:t>
      </w:r>
    </w:p>
    <w:p w14:paraId="5E1443BC">
      <w:pPr>
        <w:spacing w:before="120" w:after="120" w:line="312" w:lineRule="auto"/>
        <w:ind w:firstLine="482" w:firstLineChars="200"/>
        <w:rPr>
          <w:sz w:val="24"/>
          <w:szCs w:val="24"/>
        </w:rPr>
      </w:pPr>
      <w:r>
        <w:rPr>
          <w:b/>
          <w:bCs/>
          <w:sz w:val="24"/>
          <w:szCs w:val="24"/>
        </w:rPr>
        <w:t>2</w:t>
      </w:r>
      <w:r>
        <w:rPr>
          <w:sz w:val="24"/>
          <w:szCs w:val="24"/>
        </w:rPr>
        <w:t xml:space="preserve"> 需结合室内实际功能、使用场景及用户特性，特定化设计与更新标识系统；</w:t>
      </w:r>
    </w:p>
    <w:p w14:paraId="4A7767A0">
      <w:pPr>
        <w:spacing w:before="120" w:after="120" w:line="312" w:lineRule="auto"/>
        <w:ind w:firstLine="482" w:firstLineChars="200"/>
        <w:rPr>
          <w:sz w:val="24"/>
          <w:szCs w:val="24"/>
        </w:rPr>
      </w:pPr>
      <w:r>
        <w:rPr>
          <w:b/>
          <w:bCs/>
          <w:sz w:val="24"/>
          <w:szCs w:val="24"/>
        </w:rPr>
        <w:t>3</w:t>
      </w:r>
      <w:r>
        <w:rPr>
          <w:sz w:val="24"/>
          <w:szCs w:val="24"/>
        </w:rPr>
        <w:t xml:space="preserve"> 大型公共空间或举行大型活动时，采用多媒体等电子设施作为引导系统。</w:t>
      </w:r>
    </w:p>
    <w:p w14:paraId="61CF4748">
      <w:pPr>
        <w:spacing w:before="120" w:after="120" w:line="312" w:lineRule="auto"/>
        <w:ind w:firstLine="480" w:firstLineChars="200"/>
        <w:rPr>
          <w:sz w:val="24"/>
          <w:szCs w:val="24"/>
        </w:rPr>
      </w:pPr>
      <w:r>
        <w:rPr>
          <w:sz w:val="24"/>
          <w:szCs w:val="24"/>
        </w:rPr>
        <w:t>4 在建筑主入口或电梯/自动扶梯处设置可见性强的楼梯标识，并辅以激励性的标识，引导于鼓励人群多使用楼梯进行锻炼。</w:t>
      </w:r>
    </w:p>
    <w:p w14:paraId="048B2F84">
      <w:pPr>
        <w:spacing w:before="120" w:after="120" w:line="312" w:lineRule="auto"/>
        <w:rPr>
          <w:sz w:val="24"/>
          <w:szCs w:val="24"/>
        </w:rPr>
      </w:pPr>
      <w:r>
        <w:rPr>
          <w:b/>
          <w:bCs/>
          <w:sz w:val="24"/>
          <w:szCs w:val="24"/>
        </w:rPr>
        <w:t xml:space="preserve">6.6.6 </w:t>
      </w:r>
      <w:r>
        <w:rPr>
          <w:sz w:val="24"/>
          <w:szCs w:val="24"/>
        </w:rPr>
        <w:t>应建立并实施室内设施设备维护与保养计划，并满足如下要求：</w:t>
      </w:r>
    </w:p>
    <w:p w14:paraId="6AAA8B21">
      <w:pPr>
        <w:spacing w:before="120" w:after="120" w:line="312" w:lineRule="auto"/>
        <w:ind w:firstLine="480" w:firstLineChars="200"/>
        <w:rPr>
          <w:sz w:val="24"/>
          <w:szCs w:val="24"/>
        </w:rPr>
      </w:pPr>
      <w:r>
        <w:rPr>
          <w:sz w:val="24"/>
          <w:szCs w:val="24"/>
        </w:rPr>
        <w:t>1 日常检查与维护家具设施，及时清理或修复表面有损坏的木材、竹、金属、玻璃等，防止尖锐物品或尖锐棱边角外露伤人。</w:t>
      </w:r>
    </w:p>
    <w:p w14:paraId="2BA86953">
      <w:pPr>
        <w:spacing w:before="120" w:after="120" w:line="312" w:lineRule="auto"/>
        <w:ind w:firstLine="480" w:firstLineChars="200"/>
        <w:rPr>
          <w:sz w:val="24"/>
          <w:szCs w:val="24"/>
        </w:rPr>
      </w:pPr>
      <w:r>
        <w:rPr>
          <w:sz w:val="24"/>
          <w:szCs w:val="24"/>
        </w:rPr>
        <w:t>2 定期维护与保养室内电子设备及机电系统，发现设备异常噪声时，应及时进行检修或处理。</w:t>
      </w:r>
    </w:p>
    <w:p w14:paraId="76DD640C">
      <w:pPr>
        <w:rPr>
          <w:sz w:val="24"/>
        </w:rPr>
      </w:pPr>
      <w:r>
        <w:rPr>
          <w:sz w:val="24"/>
        </w:rPr>
        <w:br w:type="page"/>
      </w:r>
    </w:p>
    <w:p w14:paraId="26542AD4">
      <w:pPr>
        <w:spacing w:before="120" w:after="120" w:line="312" w:lineRule="auto"/>
        <w:jc w:val="center"/>
        <w:outlineLvl w:val="0"/>
        <w:rPr>
          <w:b/>
          <w:bCs/>
          <w:sz w:val="28"/>
          <w:szCs w:val="28"/>
        </w:rPr>
      </w:pPr>
      <w:bookmarkStart w:id="339" w:name="_Toc3665"/>
      <w:bookmarkStart w:id="340" w:name="_Toc8461"/>
      <w:bookmarkStart w:id="341" w:name="_Toc5294"/>
      <w:bookmarkStart w:id="342" w:name="_Toc18878"/>
      <w:r>
        <w:rPr>
          <w:rFonts w:hint="eastAsia"/>
          <w:b/>
          <w:bCs/>
          <w:sz w:val="28"/>
          <w:szCs w:val="28"/>
        </w:rPr>
        <w:t>本标准用词说明</w:t>
      </w:r>
      <w:bookmarkEnd w:id="339"/>
      <w:bookmarkEnd w:id="340"/>
      <w:bookmarkEnd w:id="341"/>
      <w:bookmarkEnd w:id="342"/>
    </w:p>
    <w:p w14:paraId="05FBD445">
      <w:pPr>
        <w:spacing w:before="120" w:after="120" w:line="312" w:lineRule="auto"/>
        <w:rPr>
          <w:sz w:val="24"/>
        </w:rPr>
      </w:pPr>
    </w:p>
    <w:p w14:paraId="290B18F5">
      <w:pPr>
        <w:spacing w:before="120" w:after="120" w:line="312" w:lineRule="auto"/>
        <w:ind w:firstLine="480" w:firstLineChars="200"/>
        <w:rPr>
          <w:sz w:val="24"/>
          <w:szCs w:val="24"/>
        </w:rPr>
      </w:pPr>
      <w:r>
        <w:rPr>
          <w:rFonts w:hint="eastAsia"/>
          <w:sz w:val="24"/>
          <w:szCs w:val="24"/>
        </w:rPr>
        <w:t>1 为便于在执行本标准条文时区别对待，对要求严格程度不同的用词说明如下：</w:t>
      </w:r>
    </w:p>
    <w:p w14:paraId="29C94A31">
      <w:pPr>
        <w:spacing w:before="120" w:after="120" w:line="312" w:lineRule="auto"/>
        <w:ind w:firstLine="480" w:firstLineChars="200"/>
        <w:rPr>
          <w:sz w:val="24"/>
          <w:szCs w:val="24"/>
        </w:rPr>
      </w:pPr>
      <w:r>
        <w:rPr>
          <w:rFonts w:hint="eastAsia"/>
          <w:sz w:val="24"/>
          <w:szCs w:val="24"/>
        </w:rPr>
        <w:t>1)表示很严格，非这样做不可的：</w:t>
      </w:r>
    </w:p>
    <w:p w14:paraId="2A3015D0">
      <w:pPr>
        <w:spacing w:before="120" w:after="120" w:line="312" w:lineRule="auto"/>
        <w:ind w:firstLine="480" w:firstLineChars="200"/>
        <w:rPr>
          <w:sz w:val="24"/>
          <w:szCs w:val="24"/>
        </w:rPr>
      </w:pPr>
      <w:r>
        <w:rPr>
          <w:rFonts w:hint="eastAsia"/>
          <w:sz w:val="24"/>
          <w:szCs w:val="24"/>
        </w:rPr>
        <w:t>正面词采用“必须”，反面词采用“严禁”；</w:t>
      </w:r>
    </w:p>
    <w:p w14:paraId="11C1A881">
      <w:pPr>
        <w:spacing w:before="120" w:after="120" w:line="312" w:lineRule="auto"/>
        <w:ind w:firstLine="480" w:firstLineChars="200"/>
        <w:rPr>
          <w:sz w:val="24"/>
          <w:szCs w:val="24"/>
        </w:rPr>
      </w:pPr>
      <w:r>
        <w:rPr>
          <w:rFonts w:hint="eastAsia"/>
          <w:sz w:val="24"/>
          <w:szCs w:val="24"/>
        </w:rPr>
        <w:t>2)表示严格，在正常情况下均应这样做的：</w:t>
      </w:r>
    </w:p>
    <w:p w14:paraId="4D6A0B78">
      <w:pPr>
        <w:spacing w:before="120" w:after="120" w:line="312" w:lineRule="auto"/>
        <w:ind w:firstLine="480" w:firstLineChars="200"/>
        <w:rPr>
          <w:sz w:val="24"/>
          <w:szCs w:val="24"/>
        </w:rPr>
      </w:pPr>
      <w:r>
        <w:rPr>
          <w:rFonts w:hint="eastAsia"/>
          <w:sz w:val="24"/>
          <w:szCs w:val="24"/>
        </w:rPr>
        <w:t>正面词采用“应”，反面词采用“不应”或“不得”；</w:t>
      </w:r>
    </w:p>
    <w:p w14:paraId="7846D3AE">
      <w:pPr>
        <w:spacing w:before="120" w:after="120" w:line="312" w:lineRule="auto"/>
        <w:ind w:firstLine="480" w:firstLineChars="200"/>
        <w:rPr>
          <w:sz w:val="24"/>
          <w:szCs w:val="24"/>
        </w:rPr>
      </w:pPr>
      <w:r>
        <w:rPr>
          <w:rFonts w:hint="eastAsia"/>
          <w:sz w:val="24"/>
          <w:szCs w:val="24"/>
        </w:rPr>
        <w:t>3)表示允许稍有选择，在条件许可时首先应这样做的：</w:t>
      </w:r>
    </w:p>
    <w:p w14:paraId="5033B94A">
      <w:pPr>
        <w:spacing w:before="120" w:after="120" w:line="312" w:lineRule="auto"/>
        <w:ind w:firstLine="480" w:firstLineChars="200"/>
        <w:rPr>
          <w:sz w:val="24"/>
          <w:szCs w:val="24"/>
        </w:rPr>
      </w:pPr>
      <w:r>
        <w:rPr>
          <w:rFonts w:hint="eastAsia"/>
          <w:sz w:val="24"/>
          <w:szCs w:val="24"/>
        </w:rPr>
        <w:t>正面词采用“宜”，反面词采用“不宜”；</w:t>
      </w:r>
    </w:p>
    <w:p w14:paraId="6B58281E">
      <w:pPr>
        <w:spacing w:before="120" w:after="120" w:line="312" w:lineRule="auto"/>
        <w:ind w:firstLine="480" w:firstLineChars="200"/>
        <w:rPr>
          <w:sz w:val="24"/>
          <w:szCs w:val="24"/>
        </w:rPr>
      </w:pPr>
      <w:r>
        <w:rPr>
          <w:rFonts w:hint="eastAsia"/>
          <w:sz w:val="24"/>
          <w:szCs w:val="24"/>
        </w:rPr>
        <w:t>4)表示有选择，在一定条件下可以这样做的，采用“可”。</w:t>
      </w:r>
    </w:p>
    <w:p w14:paraId="3007F7BE">
      <w:pPr>
        <w:spacing w:before="120" w:after="120" w:line="312" w:lineRule="auto"/>
        <w:ind w:firstLine="480" w:firstLineChars="200"/>
        <w:rPr>
          <w:sz w:val="24"/>
          <w:szCs w:val="24"/>
        </w:rPr>
      </w:pPr>
      <w:r>
        <w:rPr>
          <w:rFonts w:hint="eastAsia"/>
          <w:sz w:val="24"/>
          <w:szCs w:val="24"/>
        </w:rPr>
        <w:t>2 条文中指明应按其他有关标准执行的写法为：“应符合……的规定”或“应按……执行”。</w:t>
      </w:r>
    </w:p>
    <w:p w14:paraId="3CB7FCC8">
      <w:pPr>
        <w:rPr>
          <w:sz w:val="24"/>
          <w:szCs w:val="24"/>
        </w:rPr>
      </w:pPr>
      <w:r>
        <w:rPr>
          <w:sz w:val="24"/>
          <w:szCs w:val="24"/>
        </w:rPr>
        <w:br w:type="page"/>
      </w:r>
    </w:p>
    <w:p w14:paraId="79694671">
      <w:pPr>
        <w:spacing w:before="120" w:after="120" w:line="312" w:lineRule="auto"/>
        <w:jc w:val="center"/>
        <w:outlineLvl w:val="0"/>
        <w:rPr>
          <w:b/>
          <w:bCs/>
          <w:sz w:val="28"/>
          <w:szCs w:val="28"/>
        </w:rPr>
      </w:pPr>
      <w:bookmarkStart w:id="343" w:name="_Toc22058"/>
      <w:bookmarkStart w:id="344" w:name="_Toc5704"/>
      <w:bookmarkStart w:id="345" w:name="_Toc15528"/>
      <w:bookmarkStart w:id="346" w:name="_Toc27800"/>
      <w:r>
        <w:rPr>
          <w:rFonts w:hint="eastAsia"/>
          <w:b/>
          <w:bCs/>
          <w:sz w:val="28"/>
          <w:szCs w:val="28"/>
        </w:rPr>
        <w:t>引用标准名录</w:t>
      </w:r>
      <w:bookmarkEnd w:id="343"/>
      <w:bookmarkEnd w:id="344"/>
      <w:bookmarkEnd w:id="345"/>
      <w:bookmarkEnd w:id="346"/>
    </w:p>
    <w:p w14:paraId="56C04952">
      <w:pPr>
        <w:spacing w:before="120" w:after="120" w:line="312" w:lineRule="auto"/>
        <w:rPr>
          <w:sz w:val="24"/>
        </w:rPr>
      </w:pPr>
    </w:p>
    <w:p w14:paraId="29C9BAC3">
      <w:pPr>
        <w:spacing w:before="120" w:after="120" w:line="312" w:lineRule="auto"/>
        <w:ind w:firstLine="480" w:firstLineChars="200"/>
        <w:rPr>
          <w:sz w:val="24"/>
          <w:szCs w:val="24"/>
        </w:rPr>
      </w:pPr>
      <w:r>
        <w:rPr>
          <w:sz w:val="24"/>
          <w:szCs w:val="24"/>
        </w:rPr>
        <w:t>1 《民用建筑供暖通风与空气调节设计规范》GB 50736</w:t>
      </w:r>
    </w:p>
    <w:p w14:paraId="3B0E9ADD">
      <w:pPr>
        <w:spacing w:before="120" w:after="120" w:line="312" w:lineRule="auto"/>
        <w:ind w:firstLine="480" w:firstLineChars="200"/>
        <w:rPr>
          <w:sz w:val="24"/>
          <w:szCs w:val="24"/>
        </w:rPr>
      </w:pPr>
      <w:r>
        <w:rPr>
          <w:sz w:val="24"/>
          <w:szCs w:val="24"/>
        </w:rPr>
        <w:t>2 《建筑环境通用规范》GB 55016</w:t>
      </w:r>
    </w:p>
    <w:p w14:paraId="3A57E9D3">
      <w:pPr>
        <w:spacing w:before="120" w:after="120" w:line="312" w:lineRule="auto"/>
        <w:ind w:firstLine="480" w:firstLineChars="200"/>
        <w:rPr>
          <w:sz w:val="24"/>
          <w:szCs w:val="24"/>
        </w:rPr>
      </w:pPr>
      <w:r>
        <w:rPr>
          <w:rFonts w:hint="eastAsia"/>
          <w:sz w:val="24"/>
          <w:szCs w:val="24"/>
        </w:rPr>
        <w:t>3 《民用建筑室内热湿环境评价标准》GB/T 50785</w:t>
      </w:r>
    </w:p>
    <w:p w14:paraId="59B21FD0">
      <w:pPr>
        <w:spacing w:before="120" w:after="120" w:line="312" w:lineRule="auto"/>
        <w:ind w:firstLine="480" w:firstLineChars="200"/>
        <w:rPr>
          <w:sz w:val="24"/>
          <w:szCs w:val="24"/>
        </w:rPr>
      </w:pPr>
      <w:r>
        <w:rPr>
          <w:rFonts w:hint="eastAsia"/>
          <w:sz w:val="24"/>
          <w:szCs w:val="24"/>
        </w:rPr>
        <w:t>4 《民用建筑隔声设计标准》GB 50118</w:t>
      </w:r>
    </w:p>
    <w:p w14:paraId="217B5870">
      <w:pPr>
        <w:spacing w:before="120" w:after="120" w:line="312" w:lineRule="auto"/>
        <w:ind w:firstLine="480" w:firstLineChars="200"/>
        <w:rPr>
          <w:sz w:val="24"/>
          <w:szCs w:val="24"/>
        </w:rPr>
      </w:pPr>
      <w:r>
        <w:rPr>
          <w:rFonts w:hint="eastAsia"/>
          <w:sz w:val="24"/>
          <w:szCs w:val="24"/>
        </w:rPr>
        <w:t>5 《剧场、电影院和多用途厅堂建筑声学设计规范》GB/T 50356</w:t>
      </w:r>
    </w:p>
    <w:p w14:paraId="13FC8D6B">
      <w:pPr>
        <w:spacing w:before="120" w:after="120" w:line="312" w:lineRule="auto"/>
        <w:ind w:firstLine="480" w:firstLineChars="200"/>
        <w:rPr>
          <w:sz w:val="24"/>
          <w:szCs w:val="24"/>
        </w:rPr>
      </w:pPr>
      <w:r>
        <w:rPr>
          <w:rFonts w:hint="eastAsia"/>
          <w:sz w:val="24"/>
          <w:szCs w:val="24"/>
        </w:rPr>
        <w:t>6 《建筑采光设计标准》GB50033</w:t>
      </w:r>
    </w:p>
    <w:p w14:paraId="5AC9F558">
      <w:pPr>
        <w:spacing w:before="120" w:after="120" w:line="312" w:lineRule="auto"/>
        <w:ind w:firstLine="480" w:firstLineChars="200"/>
        <w:rPr>
          <w:sz w:val="24"/>
          <w:szCs w:val="24"/>
        </w:rPr>
      </w:pPr>
      <w:r>
        <w:rPr>
          <w:rFonts w:hint="eastAsia"/>
          <w:sz w:val="24"/>
          <w:szCs w:val="24"/>
        </w:rPr>
        <w:t>7 《建筑照明设计标准》GB/T 50034</w:t>
      </w:r>
    </w:p>
    <w:p w14:paraId="10D62902">
      <w:pPr>
        <w:spacing w:before="120" w:after="120" w:line="312" w:lineRule="auto"/>
        <w:ind w:firstLine="480" w:firstLineChars="200"/>
        <w:rPr>
          <w:sz w:val="24"/>
          <w:szCs w:val="24"/>
        </w:rPr>
      </w:pPr>
      <w:r>
        <w:rPr>
          <w:rFonts w:hint="eastAsia"/>
          <w:sz w:val="24"/>
          <w:szCs w:val="24"/>
        </w:rPr>
        <w:t>8 《儿童青少年学习用品近视防控卫生要求》 GB 40070</w:t>
      </w:r>
    </w:p>
    <w:p w14:paraId="02EFE4C2">
      <w:pPr>
        <w:spacing w:before="120" w:after="120" w:line="312" w:lineRule="auto"/>
        <w:ind w:firstLine="480" w:firstLineChars="200"/>
        <w:rPr>
          <w:sz w:val="24"/>
          <w:szCs w:val="24"/>
        </w:rPr>
      </w:pPr>
      <w:r>
        <w:rPr>
          <w:rFonts w:hint="eastAsia"/>
          <w:sz w:val="24"/>
          <w:szCs w:val="24"/>
        </w:rPr>
        <w:t>9 《灯和灯系统的光生物安全性》GB/T 20145</w:t>
      </w:r>
    </w:p>
    <w:p w14:paraId="48278E57">
      <w:pPr>
        <w:spacing w:before="120" w:after="120" w:line="312" w:lineRule="auto"/>
        <w:ind w:firstLine="480" w:firstLineChars="200"/>
        <w:rPr>
          <w:sz w:val="24"/>
          <w:szCs w:val="24"/>
        </w:rPr>
      </w:pPr>
      <w:r>
        <w:rPr>
          <w:rFonts w:hint="eastAsia"/>
          <w:sz w:val="24"/>
          <w:szCs w:val="24"/>
        </w:rPr>
        <w:t>10 《电磁环境控制限值》GB 8702</w:t>
      </w:r>
    </w:p>
    <w:p w14:paraId="308C6B5D">
      <w:pPr>
        <w:spacing w:before="120" w:after="120" w:line="312" w:lineRule="auto"/>
        <w:ind w:firstLine="480" w:firstLineChars="200"/>
        <w:rPr>
          <w:sz w:val="24"/>
          <w:szCs w:val="24"/>
        </w:rPr>
      </w:pPr>
      <w:r>
        <w:rPr>
          <w:rFonts w:hint="eastAsia"/>
          <w:sz w:val="24"/>
          <w:szCs w:val="24"/>
        </w:rPr>
        <w:t>11 《民用建筑工程室内环境污染控制标准》GB50325</w:t>
      </w:r>
    </w:p>
    <w:p w14:paraId="15FF8B68">
      <w:pPr>
        <w:spacing w:before="120" w:after="120" w:line="312" w:lineRule="auto"/>
        <w:ind w:firstLine="480" w:firstLineChars="200"/>
        <w:rPr>
          <w:sz w:val="24"/>
          <w:szCs w:val="24"/>
        </w:rPr>
      </w:pPr>
      <w:r>
        <w:rPr>
          <w:rFonts w:hint="eastAsia"/>
          <w:sz w:val="24"/>
          <w:szCs w:val="24"/>
        </w:rPr>
        <w:t>12 《室内空气质量标准》GB/T 18883</w:t>
      </w:r>
    </w:p>
    <w:p w14:paraId="0793C63D">
      <w:pPr>
        <w:spacing w:before="120" w:after="120" w:line="312" w:lineRule="auto"/>
        <w:ind w:firstLine="480" w:firstLineChars="200"/>
        <w:rPr>
          <w:sz w:val="24"/>
          <w:szCs w:val="24"/>
        </w:rPr>
      </w:pPr>
      <w:r>
        <w:rPr>
          <w:rFonts w:hint="eastAsia"/>
          <w:sz w:val="24"/>
          <w:szCs w:val="24"/>
        </w:rPr>
        <w:t>13 《绿色建筑评价标准》GB/T 50378-2019</w:t>
      </w:r>
    </w:p>
    <w:p w14:paraId="4B28C124">
      <w:pPr>
        <w:spacing w:before="120" w:after="120" w:line="312" w:lineRule="auto"/>
        <w:ind w:firstLine="480" w:firstLineChars="200"/>
        <w:rPr>
          <w:sz w:val="24"/>
          <w:szCs w:val="24"/>
        </w:rPr>
      </w:pPr>
      <w:r>
        <w:rPr>
          <w:rFonts w:hint="eastAsia"/>
          <w:sz w:val="24"/>
          <w:szCs w:val="24"/>
        </w:rPr>
        <w:t>14 《建筑材料放射性核素限量》GB6566</w:t>
      </w:r>
    </w:p>
    <w:p w14:paraId="758657A5">
      <w:pPr>
        <w:spacing w:before="120" w:after="120" w:line="312" w:lineRule="auto"/>
        <w:ind w:firstLine="480" w:firstLineChars="200"/>
        <w:rPr>
          <w:sz w:val="24"/>
          <w:szCs w:val="24"/>
        </w:rPr>
      </w:pPr>
      <w:r>
        <w:rPr>
          <w:rFonts w:hint="eastAsia"/>
          <w:sz w:val="24"/>
          <w:szCs w:val="24"/>
        </w:rPr>
        <w:t>15 《建筑材料用工业废渣放射性物质限制标准》GB6763</w:t>
      </w:r>
    </w:p>
    <w:p w14:paraId="3DDD3F6A">
      <w:pPr>
        <w:spacing w:before="120" w:after="120" w:line="312" w:lineRule="auto"/>
        <w:ind w:firstLine="480" w:firstLineChars="200"/>
        <w:rPr>
          <w:sz w:val="24"/>
          <w:szCs w:val="24"/>
        </w:rPr>
      </w:pPr>
      <w:r>
        <w:rPr>
          <w:rFonts w:hint="eastAsia"/>
          <w:sz w:val="24"/>
          <w:szCs w:val="24"/>
        </w:rPr>
        <w:t>16 《空调通风系统运行管理标准》GB50365</w:t>
      </w:r>
    </w:p>
    <w:p w14:paraId="6BD6A3B1">
      <w:pPr>
        <w:spacing w:before="120" w:after="120" w:line="312" w:lineRule="auto"/>
        <w:ind w:firstLine="480" w:firstLineChars="200"/>
        <w:rPr>
          <w:sz w:val="24"/>
          <w:szCs w:val="24"/>
        </w:rPr>
      </w:pPr>
      <w:r>
        <w:rPr>
          <w:rFonts w:hint="eastAsia"/>
          <w:sz w:val="24"/>
          <w:szCs w:val="24"/>
        </w:rPr>
        <w:t>17 《公共建筑标识系统技术规范》GB/T51223</w:t>
      </w:r>
    </w:p>
    <w:p w14:paraId="2452A381">
      <w:pPr>
        <w:spacing w:before="120" w:after="120" w:line="312" w:lineRule="auto"/>
        <w:ind w:firstLine="480" w:firstLineChars="200"/>
        <w:rPr>
          <w:sz w:val="24"/>
          <w:szCs w:val="24"/>
        </w:rPr>
      </w:pPr>
      <w:r>
        <w:rPr>
          <w:rFonts w:hint="eastAsia"/>
          <w:sz w:val="24"/>
          <w:szCs w:val="24"/>
        </w:rPr>
        <w:t>18 《室内装饰装修材料有害物质限量》GB 18580</w:t>
      </w:r>
    </w:p>
    <w:p w14:paraId="11575C6A">
      <w:pPr>
        <w:spacing w:before="120" w:after="120" w:line="312" w:lineRule="auto"/>
        <w:ind w:firstLine="480" w:firstLineChars="200"/>
        <w:rPr>
          <w:sz w:val="24"/>
          <w:szCs w:val="24"/>
        </w:rPr>
      </w:pPr>
      <w:r>
        <w:rPr>
          <w:rFonts w:hint="eastAsia"/>
          <w:sz w:val="24"/>
          <w:szCs w:val="24"/>
        </w:rPr>
        <w:t>19 《城市夜景照明设计规范》JGJ/T 163</w:t>
      </w:r>
    </w:p>
    <w:p w14:paraId="5F810C19">
      <w:pPr>
        <w:spacing w:before="120" w:after="120" w:line="312" w:lineRule="auto"/>
        <w:ind w:firstLine="480" w:firstLineChars="200"/>
        <w:rPr>
          <w:sz w:val="24"/>
          <w:szCs w:val="24"/>
        </w:rPr>
      </w:pPr>
      <w:r>
        <w:rPr>
          <w:rFonts w:hint="eastAsia"/>
          <w:sz w:val="24"/>
          <w:szCs w:val="24"/>
        </w:rPr>
        <w:t>20 《生态设计产品评价规范第1部分：家用洗涤剂》GB/T 32163.1</w:t>
      </w:r>
    </w:p>
    <w:p w14:paraId="74BA00C2">
      <w:pPr>
        <w:spacing w:before="120" w:after="120" w:line="312" w:lineRule="auto"/>
        <w:ind w:firstLine="480" w:firstLineChars="200"/>
        <w:rPr>
          <w:sz w:val="24"/>
          <w:szCs w:val="24"/>
        </w:rPr>
      </w:pPr>
      <w:r>
        <w:rPr>
          <w:rFonts w:hint="eastAsia"/>
          <w:sz w:val="24"/>
          <w:szCs w:val="24"/>
        </w:rPr>
        <w:t>21 《生态设计产品评价规范第3部分：杀虫剂》GB/T 32163.3</w:t>
      </w:r>
    </w:p>
    <w:p w14:paraId="1EBBFEFA">
      <w:pPr>
        <w:spacing w:before="120" w:after="120" w:line="312" w:lineRule="auto"/>
        <w:ind w:firstLine="480" w:firstLineChars="200"/>
        <w:rPr>
          <w:sz w:val="24"/>
          <w:szCs w:val="24"/>
        </w:rPr>
      </w:pPr>
      <w:r>
        <w:rPr>
          <w:rFonts w:hint="eastAsia"/>
          <w:sz w:val="24"/>
          <w:szCs w:val="24"/>
        </w:rPr>
        <w:t>22 《清洗剂挥发性有机化合物含量限值》GB 38508</w:t>
      </w:r>
    </w:p>
    <w:p w14:paraId="2D3170E6">
      <w:pPr>
        <w:spacing w:before="120" w:after="120" w:line="312" w:lineRule="auto"/>
        <w:ind w:firstLine="480" w:firstLineChars="200"/>
        <w:rPr>
          <w:sz w:val="24"/>
          <w:szCs w:val="24"/>
        </w:rPr>
      </w:pPr>
      <w:r>
        <w:rPr>
          <w:rFonts w:hint="eastAsia"/>
          <w:sz w:val="24"/>
          <w:szCs w:val="24"/>
        </w:rPr>
        <w:t>23 《健康建筑评价标准》T/ASC 02</w:t>
      </w:r>
    </w:p>
    <w:p w14:paraId="5CC4E43F">
      <w:pPr>
        <w:spacing w:before="120" w:after="120" w:line="312" w:lineRule="auto"/>
        <w:ind w:firstLine="480" w:firstLineChars="200"/>
        <w:rPr>
          <w:sz w:val="24"/>
          <w:szCs w:val="24"/>
        </w:rPr>
      </w:pPr>
      <w:r>
        <w:rPr>
          <w:rFonts w:hint="eastAsia"/>
          <w:sz w:val="24"/>
          <w:szCs w:val="24"/>
        </w:rPr>
        <w:t>24 《公共场所集中空调通风系统卫生规范》WS 10013</w:t>
      </w:r>
    </w:p>
    <w:p w14:paraId="087523AD">
      <w:pPr>
        <w:spacing w:before="120" w:after="120" w:line="312" w:lineRule="auto"/>
        <w:ind w:firstLine="480" w:firstLineChars="200"/>
        <w:rPr>
          <w:sz w:val="24"/>
          <w:szCs w:val="24"/>
        </w:rPr>
      </w:pPr>
      <w:r>
        <w:rPr>
          <w:rFonts w:hint="eastAsia"/>
          <w:sz w:val="24"/>
          <w:szCs w:val="24"/>
        </w:rPr>
        <w:t>25 《建筑地面工程防滑技术规程》JG/T 331</w:t>
      </w:r>
    </w:p>
    <w:p w14:paraId="10E64EB6">
      <w:pPr>
        <w:spacing w:before="120" w:after="120" w:line="312" w:lineRule="auto"/>
        <w:ind w:firstLine="480" w:firstLineChars="200"/>
        <w:rPr>
          <w:sz w:val="24"/>
          <w:szCs w:val="24"/>
        </w:rPr>
      </w:pPr>
      <w:r>
        <w:rPr>
          <w:rFonts w:hint="eastAsia"/>
          <w:sz w:val="24"/>
          <w:szCs w:val="24"/>
        </w:rPr>
        <w:t>26 《建筑栏杆技术规程》JGJ/T 470</w:t>
      </w:r>
    </w:p>
    <w:p w14:paraId="6E664BB2">
      <w:pPr>
        <w:spacing w:before="120" w:after="120" w:line="312" w:lineRule="auto"/>
        <w:ind w:firstLine="480" w:firstLineChars="200"/>
        <w:rPr>
          <w:sz w:val="24"/>
          <w:szCs w:val="24"/>
        </w:rPr>
      </w:pPr>
      <w:r>
        <w:rPr>
          <w:rFonts w:hint="eastAsia"/>
          <w:sz w:val="24"/>
          <w:szCs w:val="24"/>
        </w:rPr>
        <w:t>27 《建筑玻璃应用技术规程》JGJ 113</w:t>
      </w:r>
    </w:p>
    <w:p w14:paraId="6572D29D">
      <w:pPr>
        <w:spacing w:before="120" w:after="120" w:line="312" w:lineRule="auto"/>
        <w:rPr>
          <w:b/>
          <w:bCs/>
          <w:sz w:val="28"/>
          <w:szCs w:val="28"/>
        </w:rPr>
        <w:sectPr>
          <w:pgSz w:w="11906" w:h="16838"/>
          <w:pgMar w:top="1440" w:right="1800" w:bottom="1440" w:left="1800" w:header="851" w:footer="992" w:gutter="0"/>
          <w:cols w:space="425" w:num="1"/>
          <w:docGrid w:type="lines" w:linePitch="312" w:charSpace="0"/>
        </w:sectPr>
      </w:pPr>
    </w:p>
    <w:sdt>
      <w:sdtPr>
        <w:rPr>
          <w:rFonts w:ascii="宋体" w:hAnsi="宋体"/>
        </w:rPr>
        <w:id w:val="147458794"/>
        <w15:color w:val="DBDBDB"/>
        <w:docPartObj>
          <w:docPartGallery w:val="Table of Contents"/>
          <w:docPartUnique/>
        </w:docPartObj>
      </w:sdtPr>
      <w:sdtEndPr>
        <w:rPr>
          <w:rFonts w:ascii="宋体" w:hAnsi="宋体"/>
        </w:rPr>
      </w:sdtEndPr>
      <w:sdtContent>
        <w:p w14:paraId="0106C10F">
          <w:pPr>
            <w:jc w:val="center"/>
          </w:pPr>
          <w:bookmarkStart w:id="347" w:name="_Toc23002"/>
          <w:r>
            <w:rPr>
              <w:rFonts w:ascii="宋体" w:hAnsi="宋体"/>
            </w:rPr>
            <w:t>目</w:t>
          </w:r>
          <w:r>
            <w:rPr>
              <w:rFonts w:hint="eastAsia" w:ascii="宋体" w:hAnsi="宋体"/>
            </w:rPr>
            <w:t>次</w:t>
          </w:r>
        </w:p>
        <w:p w14:paraId="14DE0493">
          <w:pPr>
            <w:pStyle w:val="6"/>
            <w:tabs>
              <w:tab w:val="right" w:leader="dot" w:pos="8306"/>
            </w:tabs>
          </w:pPr>
          <w:r>
            <w:fldChar w:fldCharType="begin"/>
          </w:r>
          <w:r>
            <w:instrText xml:space="preserve">TOC \o "1-3" \h \u </w:instrText>
          </w:r>
          <w:r>
            <w:fldChar w:fldCharType="separate"/>
          </w:r>
        </w:p>
        <w:p w14:paraId="24624728">
          <w:pPr>
            <w:pStyle w:val="6"/>
            <w:tabs>
              <w:tab w:val="right" w:leader="dot" w:pos="8306"/>
            </w:tabs>
          </w:pPr>
          <w:r>
            <w:fldChar w:fldCharType="begin"/>
          </w:r>
          <w:r>
            <w:instrText xml:space="preserve"> HYPERLINK \l "_Toc18375" </w:instrText>
          </w:r>
          <w:r>
            <w:fldChar w:fldCharType="separate"/>
          </w:r>
          <w:r>
            <w:rPr>
              <w:bCs/>
              <w:szCs w:val="28"/>
            </w:rPr>
            <w:t>1 总则</w:t>
          </w:r>
          <w:r>
            <w:tab/>
          </w:r>
          <w:r>
            <w:fldChar w:fldCharType="begin"/>
          </w:r>
          <w:r>
            <w:instrText xml:space="preserve"> PAGEREF _Toc18375 \h </w:instrText>
          </w:r>
          <w:r>
            <w:fldChar w:fldCharType="separate"/>
          </w:r>
          <w:r>
            <w:t>39</w:t>
          </w:r>
          <w:r>
            <w:fldChar w:fldCharType="end"/>
          </w:r>
          <w:r>
            <w:fldChar w:fldCharType="end"/>
          </w:r>
        </w:p>
        <w:p w14:paraId="69509582">
          <w:pPr>
            <w:pStyle w:val="6"/>
            <w:tabs>
              <w:tab w:val="right" w:leader="dot" w:pos="8306"/>
            </w:tabs>
          </w:pPr>
          <w:r>
            <w:fldChar w:fldCharType="begin"/>
          </w:r>
          <w:r>
            <w:instrText xml:space="preserve"> HYPERLINK \l "_Toc3458" </w:instrText>
          </w:r>
          <w:r>
            <w:fldChar w:fldCharType="separate"/>
          </w:r>
          <w:r>
            <w:rPr>
              <w:bCs/>
              <w:szCs w:val="28"/>
            </w:rPr>
            <w:t>2 术语</w:t>
          </w:r>
          <w:r>
            <w:tab/>
          </w:r>
          <w:r>
            <w:fldChar w:fldCharType="begin"/>
          </w:r>
          <w:r>
            <w:instrText xml:space="preserve"> PAGEREF _Toc3458 \h </w:instrText>
          </w:r>
          <w:r>
            <w:fldChar w:fldCharType="separate"/>
          </w:r>
          <w:r>
            <w:t>42</w:t>
          </w:r>
          <w:r>
            <w:fldChar w:fldCharType="end"/>
          </w:r>
          <w:r>
            <w:fldChar w:fldCharType="end"/>
          </w:r>
        </w:p>
        <w:p w14:paraId="53847D1C">
          <w:pPr>
            <w:pStyle w:val="6"/>
            <w:tabs>
              <w:tab w:val="right" w:leader="dot" w:pos="8306"/>
            </w:tabs>
          </w:pPr>
          <w:r>
            <w:fldChar w:fldCharType="begin"/>
          </w:r>
          <w:r>
            <w:instrText xml:space="preserve"> HYPERLINK \l "_Toc17484" </w:instrText>
          </w:r>
          <w:r>
            <w:fldChar w:fldCharType="separate"/>
          </w:r>
          <w:r>
            <w:rPr>
              <w:bCs/>
              <w:szCs w:val="28"/>
            </w:rPr>
            <w:t>3 基本规定</w:t>
          </w:r>
          <w:r>
            <w:tab/>
          </w:r>
          <w:r>
            <w:fldChar w:fldCharType="begin"/>
          </w:r>
          <w:r>
            <w:instrText xml:space="preserve"> PAGEREF _Toc17484 \h </w:instrText>
          </w:r>
          <w:r>
            <w:fldChar w:fldCharType="separate"/>
          </w:r>
          <w:r>
            <w:t>43</w:t>
          </w:r>
          <w:r>
            <w:fldChar w:fldCharType="end"/>
          </w:r>
          <w:r>
            <w:fldChar w:fldCharType="end"/>
          </w:r>
        </w:p>
        <w:p w14:paraId="1CC06FB2">
          <w:pPr>
            <w:pStyle w:val="6"/>
            <w:tabs>
              <w:tab w:val="right" w:leader="dot" w:pos="8306"/>
            </w:tabs>
          </w:pPr>
          <w:r>
            <w:fldChar w:fldCharType="begin"/>
          </w:r>
          <w:r>
            <w:instrText xml:space="preserve"> HYPERLINK \l "_Toc16624" </w:instrText>
          </w:r>
          <w:r>
            <w:fldChar w:fldCharType="separate"/>
          </w:r>
          <w:r>
            <w:rPr>
              <w:bCs/>
              <w:szCs w:val="28"/>
            </w:rPr>
            <w:t>4 环境指标</w:t>
          </w:r>
          <w:r>
            <w:tab/>
          </w:r>
          <w:r>
            <w:fldChar w:fldCharType="begin"/>
          </w:r>
          <w:r>
            <w:instrText xml:space="preserve"> PAGEREF _Toc16624 \h </w:instrText>
          </w:r>
          <w:r>
            <w:fldChar w:fldCharType="separate"/>
          </w:r>
          <w:r>
            <w:t>44</w:t>
          </w:r>
          <w:r>
            <w:fldChar w:fldCharType="end"/>
          </w:r>
          <w:r>
            <w:fldChar w:fldCharType="end"/>
          </w:r>
        </w:p>
        <w:p w14:paraId="1D89AEF2">
          <w:pPr>
            <w:pStyle w:val="8"/>
            <w:tabs>
              <w:tab w:val="right" w:leader="dot" w:pos="8306"/>
            </w:tabs>
          </w:pPr>
          <w:r>
            <w:fldChar w:fldCharType="begin"/>
          </w:r>
          <w:r>
            <w:instrText xml:space="preserve"> HYPERLINK \l "_Toc32041" </w:instrText>
          </w:r>
          <w:r>
            <w:fldChar w:fldCharType="separate"/>
          </w:r>
          <w:r>
            <w:rPr>
              <w:bCs/>
              <w:szCs w:val="24"/>
            </w:rPr>
            <w:t>4.1 一般规定</w:t>
          </w:r>
          <w:r>
            <w:tab/>
          </w:r>
          <w:r>
            <w:fldChar w:fldCharType="begin"/>
          </w:r>
          <w:r>
            <w:instrText xml:space="preserve"> PAGEREF _Toc32041 \h </w:instrText>
          </w:r>
          <w:r>
            <w:fldChar w:fldCharType="separate"/>
          </w:r>
          <w:r>
            <w:t>44</w:t>
          </w:r>
          <w:r>
            <w:fldChar w:fldCharType="end"/>
          </w:r>
          <w:r>
            <w:fldChar w:fldCharType="end"/>
          </w:r>
        </w:p>
        <w:p w14:paraId="460944FE">
          <w:pPr>
            <w:pStyle w:val="8"/>
            <w:tabs>
              <w:tab w:val="right" w:leader="dot" w:pos="8306"/>
            </w:tabs>
          </w:pPr>
          <w:r>
            <w:fldChar w:fldCharType="begin"/>
          </w:r>
          <w:r>
            <w:instrText xml:space="preserve"> HYPERLINK \l "_Toc12927" </w:instrText>
          </w:r>
          <w:r>
            <w:fldChar w:fldCharType="separate"/>
          </w:r>
          <w:r>
            <w:rPr>
              <w:bCs/>
              <w:szCs w:val="24"/>
            </w:rPr>
            <w:t>4.2 物理环境</w:t>
          </w:r>
          <w:r>
            <w:tab/>
          </w:r>
          <w:r>
            <w:fldChar w:fldCharType="begin"/>
          </w:r>
          <w:r>
            <w:instrText xml:space="preserve"> PAGEREF _Toc12927 \h </w:instrText>
          </w:r>
          <w:r>
            <w:fldChar w:fldCharType="separate"/>
          </w:r>
          <w:r>
            <w:t>44</w:t>
          </w:r>
          <w:r>
            <w:fldChar w:fldCharType="end"/>
          </w:r>
          <w:r>
            <w:fldChar w:fldCharType="end"/>
          </w:r>
        </w:p>
        <w:p w14:paraId="6CA89E43">
          <w:pPr>
            <w:pStyle w:val="8"/>
            <w:tabs>
              <w:tab w:val="right" w:leader="dot" w:pos="8306"/>
            </w:tabs>
          </w:pPr>
          <w:r>
            <w:fldChar w:fldCharType="begin"/>
          </w:r>
          <w:r>
            <w:instrText xml:space="preserve"> HYPERLINK \l "_Toc4910" </w:instrText>
          </w:r>
          <w:r>
            <w:fldChar w:fldCharType="separate"/>
          </w:r>
          <w:r>
            <w:rPr>
              <w:bCs/>
              <w:szCs w:val="24"/>
            </w:rPr>
            <w:t>4.3 化学环境</w:t>
          </w:r>
          <w:r>
            <w:tab/>
          </w:r>
          <w:r>
            <w:fldChar w:fldCharType="begin"/>
          </w:r>
          <w:r>
            <w:instrText xml:space="preserve"> PAGEREF _Toc4910 \h </w:instrText>
          </w:r>
          <w:r>
            <w:fldChar w:fldCharType="separate"/>
          </w:r>
          <w:r>
            <w:t>49</w:t>
          </w:r>
          <w:r>
            <w:fldChar w:fldCharType="end"/>
          </w:r>
          <w:r>
            <w:fldChar w:fldCharType="end"/>
          </w:r>
        </w:p>
        <w:p w14:paraId="1BCC4FF3">
          <w:pPr>
            <w:pStyle w:val="8"/>
            <w:tabs>
              <w:tab w:val="right" w:leader="dot" w:pos="8306"/>
            </w:tabs>
          </w:pPr>
          <w:r>
            <w:fldChar w:fldCharType="begin"/>
          </w:r>
          <w:r>
            <w:instrText xml:space="preserve"> HYPERLINK \l "_Toc29439" </w:instrText>
          </w:r>
          <w:r>
            <w:fldChar w:fldCharType="separate"/>
          </w:r>
          <w:r>
            <w:rPr>
              <w:bCs/>
              <w:szCs w:val="24"/>
            </w:rPr>
            <w:t>4.4 生物环境</w:t>
          </w:r>
          <w:r>
            <w:tab/>
          </w:r>
          <w:r>
            <w:fldChar w:fldCharType="begin"/>
          </w:r>
          <w:r>
            <w:instrText xml:space="preserve"> PAGEREF _Toc29439 \h </w:instrText>
          </w:r>
          <w:r>
            <w:fldChar w:fldCharType="separate"/>
          </w:r>
          <w:r>
            <w:t>51</w:t>
          </w:r>
          <w:r>
            <w:fldChar w:fldCharType="end"/>
          </w:r>
          <w:r>
            <w:fldChar w:fldCharType="end"/>
          </w:r>
        </w:p>
        <w:p w14:paraId="0823EE6E">
          <w:pPr>
            <w:pStyle w:val="6"/>
            <w:tabs>
              <w:tab w:val="right" w:leader="dot" w:pos="8306"/>
            </w:tabs>
          </w:pPr>
          <w:r>
            <w:fldChar w:fldCharType="begin"/>
          </w:r>
          <w:r>
            <w:instrText xml:space="preserve"> HYPERLINK \l "_Toc542" </w:instrText>
          </w:r>
          <w:r>
            <w:fldChar w:fldCharType="separate"/>
          </w:r>
          <w:r>
            <w:rPr>
              <w:bCs/>
              <w:szCs w:val="28"/>
            </w:rPr>
            <w:t>5 技术措施</w:t>
          </w:r>
          <w:r>
            <w:tab/>
          </w:r>
          <w:r>
            <w:fldChar w:fldCharType="begin"/>
          </w:r>
          <w:r>
            <w:instrText xml:space="preserve"> PAGEREF _Toc542 \h </w:instrText>
          </w:r>
          <w:r>
            <w:fldChar w:fldCharType="separate"/>
          </w:r>
          <w:r>
            <w:t>63</w:t>
          </w:r>
          <w:r>
            <w:fldChar w:fldCharType="end"/>
          </w:r>
          <w:r>
            <w:fldChar w:fldCharType="end"/>
          </w:r>
        </w:p>
        <w:p w14:paraId="657E9A92">
          <w:pPr>
            <w:pStyle w:val="8"/>
            <w:tabs>
              <w:tab w:val="right" w:leader="dot" w:pos="8306"/>
            </w:tabs>
          </w:pPr>
          <w:r>
            <w:fldChar w:fldCharType="begin"/>
          </w:r>
          <w:r>
            <w:instrText xml:space="preserve"> HYPERLINK \l "_Toc27770" </w:instrText>
          </w:r>
          <w:r>
            <w:fldChar w:fldCharType="separate"/>
          </w:r>
          <w:r>
            <w:rPr>
              <w:bCs/>
              <w:szCs w:val="24"/>
            </w:rPr>
            <w:t>5.1 建筑</w:t>
          </w:r>
          <w:r>
            <w:tab/>
          </w:r>
          <w:r>
            <w:fldChar w:fldCharType="begin"/>
          </w:r>
          <w:r>
            <w:instrText xml:space="preserve"> PAGEREF _Toc27770 \h </w:instrText>
          </w:r>
          <w:r>
            <w:fldChar w:fldCharType="separate"/>
          </w:r>
          <w:r>
            <w:t>63</w:t>
          </w:r>
          <w:r>
            <w:fldChar w:fldCharType="end"/>
          </w:r>
          <w:r>
            <w:fldChar w:fldCharType="end"/>
          </w:r>
        </w:p>
        <w:p w14:paraId="44FCBE1D">
          <w:pPr>
            <w:pStyle w:val="8"/>
            <w:tabs>
              <w:tab w:val="right" w:leader="dot" w:pos="8306"/>
            </w:tabs>
          </w:pPr>
          <w:r>
            <w:fldChar w:fldCharType="begin"/>
          </w:r>
          <w:r>
            <w:instrText xml:space="preserve"> HYPERLINK \l "_Toc15339" </w:instrText>
          </w:r>
          <w:r>
            <w:fldChar w:fldCharType="separate"/>
          </w:r>
          <w:r>
            <w:rPr>
              <w:bCs/>
              <w:szCs w:val="24"/>
            </w:rPr>
            <w:t>5.2 建筑室内装修</w:t>
          </w:r>
          <w:r>
            <w:tab/>
          </w:r>
          <w:r>
            <w:fldChar w:fldCharType="begin"/>
          </w:r>
          <w:r>
            <w:instrText xml:space="preserve"> PAGEREF _Toc15339 \h </w:instrText>
          </w:r>
          <w:r>
            <w:fldChar w:fldCharType="separate"/>
          </w:r>
          <w:r>
            <w:t>63</w:t>
          </w:r>
          <w:r>
            <w:fldChar w:fldCharType="end"/>
          </w:r>
          <w:r>
            <w:fldChar w:fldCharType="end"/>
          </w:r>
        </w:p>
        <w:p w14:paraId="2F1627AB">
          <w:pPr>
            <w:pStyle w:val="8"/>
            <w:tabs>
              <w:tab w:val="right" w:leader="dot" w:pos="8306"/>
            </w:tabs>
          </w:pPr>
          <w:r>
            <w:fldChar w:fldCharType="begin"/>
          </w:r>
          <w:r>
            <w:instrText xml:space="preserve"> HYPERLINK \l "_Toc24831" </w:instrText>
          </w:r>
          <w:r>
            <w:fldChar w:fldCharType="separate"/>
          </w:r>
          <w:r>
            <w:rPr>
              <w:bCs/>
              <w:szCs w:val="24"/>
            </w:rPr>
            <w:t>5.3 建筑室内环控设备系统</w:t>
          </w:r>
          <w:r>
            <w:tab/>
          </w:r>
          <w:r>
            <w:fldChar w:fldCharType="begin"/>
          </w:r>
          <w:r>
            <w:instrText xml:space="preserve"> PAGEREF _Toc24831 \h </w:instrText>
          </w:r>
          <w:r>
            <w:fldChar w:fldCharType="separate"/>
          </w:r>
          <w:r>
            <w:t>63</w:t>
          </w:r>
          <w:r>
            <w:fldChar w:fldCharType="end"/>
          </w:r>
          <w:r>
            <w:fldChar w:fldCharType="end"/>
          </w:r>
        </w:p>
        <w:p w14:paraId="7FFC8962">
          <w:pPr>
            <w:pStyle w:val="6"/>
            <w:tabs>
              <w:tab w:val="right" w:leader="dot" w:pos="8306"/>
            </w:tabs>
          </w:pPr>
          <w:r>
            <w:fldChar w:fldCharType="begin"/>
          </w:r>
          <w:r>
            <w:instrText xml:space="preserve"> HYPERLINK \l "_Toc15036" </w:instrText>
          </w:r>
          <w:r>
            <w:fldChar w:fldCharType="separate"/>
          </w:r>
          <w:r>
            <w:rPr>
              <w:bCs/>
              <w:szCs w:val="28"/>
            </w:rPr>
            <w:t>6 运行维护</w:t>
          </w:r>
          <w:r>
            <w:tab/>
          </w:r>
          <w:r>
            <w:fldChar w:fldCharType="begin"/>
          </w:r>
          <w:r>
            <w:instrText xml:space="preserve"> PAGEREF _Toc15036 \h </w:instrText>
          </w:r>
          <w:r>
            <w:fldChar w:fldCharType="separate"/>
          </w:r>
          <w:r>
            <w:t>68</w:t>
          </w:r>
          <w:r>
            <w:fldChar w:fldCharType="end"/>
          </w:r>
          <w:r>
            <w:fldChar w:fldCharType="end"/>
          </w:r>
        </w:p>
        <w:p w14:paraId="162F72A2">
          <w:pPr>
            <w:pStyle w:val="8"/>
            <w:tabs>
              <w:tab w:val="right" w:leader="dot" w:pos="8306"/>
            </w:tabs>
          </w:pPr>
          <w:r>
            <w:fldChar w:fldCharType="begin"/>
          </w:r>
          <w:r>
            <w:instrText xml:space="preserve"> HYPERLINK \l "_Toc2311" </w:instrText>
          </w:r>
          <w:r>
            <w:fldChar w:fldCharType="separate"/>
          </w:r>
          <w:r>
            <w:rPr>
              <w:bCs/>
              <w:szCs w:val="24"/>
            </w:rPr>
            <w:t>6.1 一般规定</w:t>
          </w:r>
          <w:r>
            <w:tab/>
          </w:r>
          <w:r>
            <w:fldChar w:fldCharType="begin"/>
          </w:r>
          <w:r>
            <w:instrText xml:space="preserve"> PAGEREF _Toc2311 \h </w:instrText>
          </w:r>
          <w:r>
            <w:fldChar w:fldCharType="separate"/>
          </w:r>
          <w:r>
            <w:t>68</w:t>
          </w:r>
          <w:r>
            <w:fldChar w:fldCharType="end"/>
          </w:r>
          <w:r>
            <w:fldChar w:fldCharType="end"/>
          </w:r>
        </w:p>
        <w:p w14:paraId="354D7869">
          <w:pPr>
            <w:pStyle w:val="8"/>
            <w:tabs>
              <w:tab w:val="right" w:leader="dot" w:pos="8306"/>
            </w:tabs>
          </w:pPr>
          <w:r>
            <w:fldChar w:fldCharType="begin"/>
          </w:r>
          <w:r>
            <w:instrText xml:space="preserve"> HYPERLINK \l "_Toc10327" </w:instrText>
          </w:r>
          <w:r>
            <w:fldChar w:fldCharType="separate"/>
          </w:r>
          <w:r>
            <w:rPr>
              <w:bCs/>
              <w:szCs w:val="24"/>
            </w:rPr>
            <w:t>6.3 化学环境维护</w:t>
          </w:r>
          <w:r>
            <w:tab/>
          </w:r>
          <w:r>
            <w:fldChar w:fldCharType="begin"/>
          </w:r>
          <w:r>
            <w:instrText xml:space="preserve"> PAGEREF _Toc10327 \h </w:instrText>
          </w:r>
          <w:r>
            <w:fldChar w:fldCharType="separate"/>
          </w:r>
          <w:r>
            <w:t>69</w:t>
          </w:r>
          <w:r>
            <w:fldChar w:fldCharType="end"/>
          </w:r>
          <w:r>
            <w:fldChar w:fldCharType="end"/>
          </w:r>
        </w:p>
        <w:p w14:paraId="78111986">
          <w:pPr>
            <w:pStyle w:val="8"/>
            <w:tabs>
              <w:tab w:val="right" w:leader="dot" w:pos="8306"/>
            </w:tabs>
          </w:pPr>
          <w:r>
            <w:fldChar w:fldCharType="begin"/>
          </w:r>
          <w:r>
            <w:instrText xml:space="preserve"> HYPERLINK \l "_Toc5568" </w:instrText>
          </w:r>
          <w:r>
            <w:fldChar w:fldCharType="separate"/>
          </w:r>
          <w:r>
            <w:rPr>
              <w:bCs/>
              <w:szCs w:val="24"/>
            </w:rPr>
            <w:t>6.6 人本关怀维护</w:t>
          </w:r>
          <w:r>
            <w:tab/>
          </w:r>
          <w:r>
            <w:fldChar w:fldCharType="begin"/>
          </w:r>
          <w:r>
            <w:instrText xml:space="preserve"> PAGEREF _Toc5568 \h </w:instrText>
          </w:r>
          <w:r>
            <w:fldChar w:fldCharType="separate"/>
          </w:r>
          <w:r>
            <w:t>73</w:t>
          </w:r>
          <w:r>
            <w:fldChar w:fldCharType="end"/>
          </w:r>
          <w:r>
            <w:fldChar w:fldCharType="end"/>
          </w:r>
        </w:p>
        <w:p w14:paraId="430D3186">
          <w:r>
            <w:fldChar w:fldCharType="end"/>
          </w:r>
        </w:p>
      </w:sdtContent>
    </w:sdt>
    <w:p w14:paraId="6C31C7A8">
      <w:r>
        <w:br w:type="page"/>
      </w:r>
    </w:p>
    <w:p w14:paraId="4CC55A09">
      <w:pPr>
        <w:spacing w:before="120" w:after="120" w:line="312" w:lineRule="auto"/>
        <w:jc w:val="center"/>
        <w:outlineLvl w:val="0"/>
        <w:rPr>
          <w:b/>
          <w:bCs/>
          <w:sz w:val="28"/>
          <w:szCs w:val="28"/>
        </w:rPr>
      </w:pPr>
      <w:bookmarkStart w:id="348" w:name="_Toc18930"/>
      <w:bookmarkStart w:id="349" w:name="_Toc18375"/>
      <w:r>
        <w:rPr>
          <w:b/>
          <w:bCs/>
          <w:sz w:val="28"/>
          <w:szCs w:val="28"/>
        </w:rPr>
        <w:t>1 总则</w:t>
      </w:r>
      <w:bookmarkEnd w:id="347"/>
      <w:bookmarkEnd w:id="348"/>
      <w:bookmarkEnd w:id="349"/>
    </w:p>
    <w:p w14:paraId="4A1BFB96">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1.0.1</w:t>
      </w:r>
      <w:r>
        <w:rPr>
          <w:rFonts w:hint="eastAsia" w:asciiTheme="minorEastAsia" w:hAnsiTheme="minorEastAsia" w:eastAsiaTheme="minorEastAsia"/>
          <w:sz w:val="24"/>
          <w:szCs w:val="24"/>
        </w:rPr>
        <w:t>高品质建筑的室内环境建设是提升人民生活品质、推动城市高质量发展的重要举措。2021年，国家发展改革委在《关于推动生活性服务业补短板上水平提高人民生活品质的若干意见》（国办函〔2021〕103号）中明确提出，高品质生活城市应满足人民对更舒适居住条件和优美环境的需求。</w:t>
      </w:r>
    </w:p>
    <w:p w14:paraId="2E8F8E0C">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此外，《中华人民共和国国民经济和社会发展第十四个五年规划和2035年远景目标纲要》提出“落实适用、经济、绿色、美观的新时期建筑方针”，其中，高品质建筑的建设是这一方针的重要实践路径。住房和城乡建设部在《建筑节能与绿色建筑发展“十三五”规划》中强调，坚持以人为本，制定高品质建筑室内环境技术标准，以满足人民对建筑品质、环境健康性及舒适度的需求。</w:t>
      </w:r>
    </w:p>
    <w:p w14:paraId="5449330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广东省大部分地区属于夏热冬暖气候区，受热带—南亚热带季风气候影响，具有高温、多湿和台风频发等特点。特殊的气候条件导致建筑室内环境面临以下挑战：</w:t>
      </w:r>
    </w:p>
    <w:p w14:paraId="173891FB">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（1）湿热环境影响：梅雨季、回南天等潮湿天气影响建筑的热湿环境，容易滋生霉菌、蚊虫、蟑螂等有害生物，影响居住健康。</w:t>
      </w:r>
    </w:p>
    <w:p w14:paraId="70450141">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（2）高密度城市问题：广东长期高速发展导致城市热岛效应显著、人口密度高、交通拥堵和噪声污染问题突出，影响居住舒适度。</w:t>
      </w:r>
    </w:p>
    <w:p w14:paraId="224E07DC">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（3）空调依赖与健康风险：广东地区室内全年空调使用频繁，人员长期处于封闭空调环境，可能引发“空调病”等健康问题。因此，改善空调环境、优化空气质量至关重要。</w:t>
      </w:r>
    </w:p>
    <w:p w14:paraId="26905678">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综上，编制相关标准解决广东省室内环境的现有问题必不可少。尽管国家和地方已有多项关于建筑室内环境的标准，但仍存在以下不足：</w:t>
      </w:r>
    </w:p>
    <w:p w14:paraId="0A520161">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热环境标准不完善：现有空调设计相关标准中只对设计温度、湿度、风速和衡量热舒适性的平均热感觉指数提出要求，如在《民用建筑供暖通风与空气调节设计规范》GB 50736 - 2012中，规定了室内设计参数：</w:t>
      </w:r>
    </w:p>
    <w:p w14:paraId="070B9A2B">
      <w:pPr>
        <w:spacing w:before="100" w:beforeAutospacing="1" w:after="100" w:afterAutospacing="1" w:line="312" w:lineRule="auto"/>
        <w:ind w:firstLine="480" w:firstLineChars="200"/>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第3.0.2条，舒适性空调室内设计参数应符合以下规定：</w:t>
      </w:r>
    </w:p>
    <w:p w14:paraId="63261260">
      <w:pPr>
        <w:spacing w:before="100" w:beforeAutospacing="1" w:after="100" w:afterAutospacing="1" w:line="312" w:lineRule="auto"/>
        <w:ind w:firstLine="480" w:firstLineChars="200"/>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1人员长期逗留区域空调室内设计参数应符合表3.0.2的规定：</w:t>
      </w:r>
    </w:p>
    <w:p w14:paraId="469BD3E7">
      <w:pPr>
        <w:spacing w:before="100" w:beforeAutospacing="1" w:after="100" w:afterAutospacing="1" w:line="312" w:lineRule="auto"/>
        <w:ind w:firstLine="480" w:firstLineChars="200"/>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表3.0.2人员长期逗留区域空调室内设计参数</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51D5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631D1564">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类别</w:t>
            </w:r>
          </w:p>
        </w:tc>
        <w:tc>
          <w:tcPr>
            <w:tcW w:w="1704" w:type="dxa"/>
            <w:vAlign w:val="center"/>
          </w:tcPr>
          <w:p w14:paraId="6DCA7A50">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热舒适度等级</w:t>
            </w:r>
          </w:p>
        </w:tc>
        <w:tc>
          <w:tcPr>
            <w:tcW w:w="1704" w:type="dxa"/>
            <w:vAlign w:val="center"/>
          </w:tcPr>
          <w:p w14:paraId="0BC338DD">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温度(℃)</w:t>
            </w:r>
          </w:p>
        </w:tc>
        <w:tc>
          <w:tcPr>
            <w:tcW w:w="1705" w:type="dxa"/>
            <w:vAlign w:val="center"/>
          </w:tcPr>
          <w:p w14:paraId="5B693C0B">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相对湿度(%）</w:t>
            </w:r>
          </w:p>
        </w:tc>
        <w:tc>
          <w:tcPr>
            <w:tcW w:w="1705" w:type="dxa"/>
            <w:vAlign w:val="center"/>
          </w:tcPr>
          <w:p w14:paraId="6F314FF4">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风速(m/s)</w:t>
            </w:r>
          </w:p>
        </w:tc>
      </w:tr>
      <w:tr w14:paraId="4926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7C50D5F5">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供热工况</w:t>
            </w:r>
          </w:p>
        </w:tc>
        <w:tc>
          <w:tcPr>
            <w:tcW w:w="1704" w:type="dxa"/>
            <w:vAlign w:val="center"/>
          </w:tcPr>
          <w:p w14:paraId="442D01CD">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I级</w:t>
            </w:r>
          </w:p>
        </w:tc>
        <w:tc>
          <w:tcPr>
            <w:tcW w:w="1704" w:type="dxa"/>
            <w:vAlign w:val="center"/>
          </w:tcPr>
          <w:p w14:paraId="0DAB0199">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22～24</w:t>
            </w:r>
          </w:p>
        </w:tc>
        <w:tc>
          <w:tcPr>
            <w:tcW w:w="1705" w:type="dxa"/>
            <w:vAlign w:val="center"/>
          </w:tcPr>
          <w:p w14:paraId="7469022D">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≥30</w:t>
            </w:r>
          </w:p>
        </w:tc>
        <w:tc>
          <w:tcPr>
            <w:tcW w:w="1705" w:type="dxa"/>
            <w:vAlign w:val="center"/>
          </w:tcPr>
          <w:p w14:paraId="7B857001">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≤0.2</w:t>
            </w:r>
          </w:p>
        </w:tc>
      </w:tr>
      <w:tr w14:paraId="4C5C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727B04FD">
            <w:pPr>
              <w:spacing w:before="100" w:beforeAutospacing="1" w:after="100" w:afterAutospacing="1"/>
              <w:rPr>
                <w:rFonts w:asciiTheme="minorEastAsia" w:hAnsiTheme="minorEastAsia" w:eastAsiaTheme="minorEastAsia"/>
                <w:i/>
                <w:iCs/>
                <w:sz w:val="24"/>
                <w:szCs w:val="24"/>
              </w:rPr>
            </w:pPr>
          </w:p>
        </w:tc>
        <w:tc>
          <w:tcPr>
            <w:tcW w:w="1704" w:type="dxa"/>
            <w:vAlign w:val="center"/>
          </w:tcPr>
          <w:p w14:paraId="747B50FF">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Ⅱ级</w:t>
            </w:r>
          </w:p>
        </w:tc>
        <w:tc>
          <w:tcPr>
            <w:tcW w:w="1704" w:type="dxa"/>
            <w:vAlign w:val="center"/>
          </w:tcPr>
          <w:p w14:paraId="39DF46D7">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18～22</w:t>
            </w:r>
          </w:p>
        </w:tc>
        <w:tc>
          <w:tcPr>
            <w:tcW w:w="1705" w:type="dxa"/>
            <w:vAlign w:val="center"/>
          </w:tcPr>
          <w:p w14:paraId="45AD77DA">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w:t>
            </w:r>
          </w:p>
        </w:tc>
        <w:tc>
          <w:tcPr>
            <w:tcW w:w="1705" w:type="dxa"/>
            <w:vAlign w:val="center"/>
          </w:tcPr>
          <w:p w14:paraId="2ADBC68E">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≤0.2</w:t>
            </w:r>
          </w:p>
        </w:tc>
      </w:tr>
      <w:tr w14:paraId="260D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26C9F56E">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供冷工况</w:t>
            </w:r>
          </w:p>
        </w:tc>
        <w:tc>
          <w:tcPr>
            <w:tcW w:w="1704" w:type="dxa"/>
            <w:vAlign w:val="center"/>
          </w:tcPr>
          <w:p w14:paraId="2CD9456B">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I级</w:t>
            </w:r>
          </w:p>
        </w:tc>
        <w:tc>
          <w:tcPr>
            <w:tcW w:w="1704" w:type="dxa"/>
            <w:vAlign w:val="center"/>
          </w:tcPr>
          <w:p w14:paraId="2648E626">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24～26</w:t>
            </w:r>
          </w:p>
        </w:tc>
        <w:tc>
          <w:tcPr>
            <w:tcW w:w="1705" w:type="dxa"/>
            <w:vAlign w:val="center"/>
          </w:tcPr>
          <w:p w14:paraId="55B21632">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40～60</w:t>
            </w:r>
          </w:p>
        </w:tc>
        <w:tc>
          <w:tcPr>
            <w:tcW w:w="1705" w:type="dxa"/>
            <w:vAlign w:val="center"/>
          </w:tcPr>
          <w:p w14:paraId="2C0A6690">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≤0.25</w:t>
            </w:r>
          </w:p>
        </w:tc>
      </w:tr>
      <w:tr w14:paraId="20A8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6DF93A7E">
            <w:pPr>
              <w:spacing w:before="100" w:beforeAutospacing="1" w:after="100" w:afterAutospacing="1"/>
              <w:rPr>
                <w:rFonts w:asciiTheme="minorEastAsia" w:hAnsiTheme="minorEastAsia" w:eastAsiaTheme="minorEastAsia"/>
                <w:i/>
                <w:iCs/>
                <w:sz w:val="24"/>
                <w:szCs w:val="24"/>
              </w:rPr>
            </w:pPr>
          </w:p>
        </w:tc>
        <w:tc>
          <w:tcPr>
            <w:tcW w:w="1704" w:type="dxa"/>
            <w:vAlign w:val="center"/>
          </w:tcPr>
          <w:p w14:paraId="0D45EE6F">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Ⅱ级</w:t>
            </w:r>
          </w:p>
        </w:tc>
        <w:tc>
          <w:tcPr>
            <w:tcW w:w="1704" w:type="dxa"/>
            <w:vAlign w:val="center"/>
          </w:tcPr>
          <w:p w14:paraId="4ED8D923">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26～28</w:t>
            </w:r>
          </w:p>
        </w:tc>
        <w:tc>
          <w:tcPr>
            <w:tcW w:w="1705" w:type="dxa"/>
            <w:vAlign w:val="center"/>
          </w:tcPr>
          <w:p w14:paraId="700EF21F">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≤70</w:t>
            </w:r>
          </w:p>
        </w:tc>
        <w:tc>
          <w:tcPr>
            <w:tcW w:w="1705" w:type="dxa"/>
            <w:vAlign w:val="center"/>
          </w:tcPr>
          <w:p w14:paraId="086B8A5F">
            <w:pPr>
              <w:spacing w:before="100" w:beforeAutospacing="1" w:after="100" w:afterAutospacing="1"/>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≤0.3</w:t>
            </w:r>
          </w:p>
        </w:tc>
      </w:tr>
    </w:tbl>
    <w:p w14:paraId="6D4ACB9C">
      <w:pPr>
        <w:spacing w:before="100" w:beforeAutospacing="1" w:after="100" w:afterAutospacing="1" w:line="312" w:lineRule="auto"/>
        <w:ind w:firstLine="480" w:firstLineChars="200"/>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注： I级热舒适度较高，Ⅱ级热舒适度一般。</w:t>
      </w:r>
    </w:p>
    <w:p w14:paraId="69721D06">
      <w:pPr>
        <w:spacing w:before="100" w:beforeAutospacing="1" w:after="100" w:afterAutospacing="1" w:line="312" w:lineRule="auto"/>
        <w:ind w:firstLine="480" w:firstLineChars="200"/>
        <w:rPr>
          <w:rFonts w:asciiTheme="minorEastAsia" w:hAnsiTheme="minorEastAsia" w:eastAsiaTheme="minorEastAsia"/>
          <w:i/>
          <w:iCs/>
          <w:sz w:val="24"/>
          <w:szCs w:val="24"/>
        </w:rPr>
      </w:pPr>
      <w:r>
        <w:rPr>
          <w:rFonts w:hint="eastAsia" w:asciiTheme="minorEastAsia" w:hAnsiTheme="minorEastAsia" w:eastAsiaTheme="minorEastAsia"/>
          <w:i/>
          <w:iCs/>
          <w:sz w:val="24"/>
          <w:szCs w:val="24"/>
        </w:rPr>
        <w:t>2人员短期逗留区域空调供冷工况室内设计参数宜比长期逗留区域提高1℃～2℃，供热工况宜降低1℃～2℃。短期逗留区域供冷工况风速不宜大于0.5m/s，供热工况风速不宜大于0.3m/s。</w:t>
      </w:r>
    </w:p>
    <w:p w14:paraId="59D06B09">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此外，验收规范仅包含温度验收及调适的内容，缺乏湿度、风速及舒适度的验收标准，无法全面评估热环境质量。</w:t>
      </w:r>
    </w:p>
    <w:p w14:paraId="2BA71BC7">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（2）规范要求范围有限：《建筑环境通用规范》仅对建筑热工、声环境、光环境和空气质量提出基本要求，对生物环境、精神环境、人本关怀等缺乏明确标准，难以满足高品质建筑需求。</w:t>
      </w:r>
    </w:p>
    <w:p w14:paraId="44E15D29">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（3）广东地区特殊环境问题无标准支撑：广东省长期受潮湿、霉菌及蚊虫困扰，但目前无相应标准针对这些问题制定控制指标，无法有效指导室内环境治理。</w:t>
      </w:r>
    </w:p>
    <w:p w14:paraId="14BFCCC2">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（4）现有标准零散且缺乏强制性：虽然国家和地方出台了多个相关标准，但内容分散且大多为推荐性标准，导致在建筑项目中执行力度不足，影响室内环境的实际改善。</w:t>
      </w:r>
    </w:p>
    <w:p w14:paraId="1D1EE04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（5）生物环境、精神环境与人本关怀的缺失：目前的建筑标准几乎未涉及室内生物环境（如害虫控制）、精神环境（如光影氛围）及人本关怀（如特殊人群适应性），难以满足现代建筑的多元化需求。</w:t>
      </w:r>
    </w:p>
    <w:p w14:paraId="448FE228">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针对上述问题，制定广东省高品质建筑室内环境技术标准具有重要的现实意义：</w:t>
      </w:r>
    </w:p>
    <w:p w14:paraId="5EE3FFDB">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提升建筑舒适、高效、健康：建立更全面的温湿度控制、空气质量监测、噪声管理及光环境优化指标，提高建筑使用体验。</w:t>
      </w:r>
    </w:p>
    <w:p w14:paraId="6BDB60E7">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适应广东气候特征：针对潮湿、多雨、高温气候，制定防霉、防虫、通风调节等专项技术要求，提高建筑耐久性与健康水平。</w:t>
      </w:r>
    </w:p>
    <w:p w14:paraId="5A2170C8">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促进节能与“双碳”目标：优化空调运行，提高能效利用率，降低能耗，助力建筑行业实现“双碳”目标。</w:t>
      </w:r>
    </w:p>
    <w:p w14:paraId="4FF09407">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强化标准的科学性和可执行性：结合建筑、设备、室内装修等多专业协同，制定目标明确、具有区域适应性的标准，增强落地执行力。</w:t>
      </w:r>
    </w:p>
    <w:p w14:paraId="5B6BB58C">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填补标准空白：引入生物环境、精神环境、人本关怀等新概念，推动建筑标准向高质量、人性化方向发展。</w:t>
      </w:r>
    </w:p>
    <w:p w14:paraId="4E209001">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因此，编制广东省高品质建筑室内环境技术标准具有重要的必要性。这不仅是促进高品质建筑发展的关键步骤，也是符合国家发展战略的需求。为了改善南方地区建筑的室内环境，推动“双碳”目标的实现，必须协同建筑、设备、室内装修等多个专业，共同研究并制定具有明确目标和专业协同的南方高品质室内环境标准。</w:t>
      </w:r>
    </w:p>
    <w:p w14:paraId="52414F87">
      <w:pPr>
        <w:spacing w:before="100" w:beforeAutospacing="1" w:after="100" w:afterAutospacing="1" w:line="312" w:lineRule="auto"/>
        <w:rPr>
          <w:rFonts w:asciiTheme="minorEastAsia" w:hAnsiTheme="minorEastAsia" w:eastAsiaTheme="minorEastAsia"/>
          <w:b/>
          <w:bCs/>
          <w:sz w:val="24"/>
          <w:szCs w:val="24"/>
        </w:rPr>
      </w:pPr>
      <w:r>
        <w:rPr>
          <w:rFonts w:asciiTheme="minorEastAsia" w:hAnsiTheme="minorEastAsia" w:eastAsiaTheme="minorEastAsia"/>
          <w:b/>
          <w:bCs/>
          <w:sz w:val="24"/>
          <w:szCs w:val="24"/>
        </w:rPr>
        <w:t>1.0.</w:t>
      </w:r>
      <w:r>
        <w:rPr>
          <w:rFonts w:hint="eastAsia" w:asciiTheme="minorEastAsia" w:hAnsiTheme="minorEastAsia" w:eastAsiaTheme="minorEastAsia"/>
          <w:b/>
          <w:bCs/>
          <w:sz w:val="24"/>
          <w:szCs w:val="24"/>
        </w:rPr>
        <w:t>2</w:t>
      </w:r>
      <w:r>
        <w:rPr>
          <w:rFonts w:hint="eastAsia" w:asciiTheme="minorEastAsia" w:hAnsiTheme="minorEastAsia" w:eastAsiaTheme="minorEastAsia"/>
          <w:sz w:val="24"/>
          <w:szCs w:val="24"/>
        </w:rPr>
        <w:t>标准中适用于多个建筑类型及空间，包括但不限于居住、办公、商业、医疗、教育、文化、体育及交通等领域，具体分类如下：</w:t>
      </w:r>
    </w:p>
    <w:p w14:paraId="2E94CDBA">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（1）居住建筑。适用于住宅、公寓、宿舍等，涵盖前室、起居室、餐厅、书房、工作室、卧室、厨房及浴厕等空间。</w:t>
      </w:r>
    </w:p>
    <w:p w14:paraId="1DA530B0">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（2）文教建筑。适用于幼儿园、学校、图书馆等，包括门厅、过厅、中庭、教室、活动室、阅览室等功能区域。</w:t>
      </w:r>
    </w:p>
    <w:p w14:paraId="65499ACA">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（2）医疗建筑。涵盖医院、疗养院等医疗设施，包括门诊室、检查室、病房等核心空间。</w:t>
      </w:r>
    </w:p>
    <w:p w14:paraId="53C422D4">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（3）办公建筑。适用于行政办公楼、商业办公楼等，包括办公室、会议室、报告厅等工作与交流空间。</w:t>
      </w:r>
    </w:p>
    <w:p w14:paraId="26790AFD">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（4）商业建筑。适用于商场、便利店、餐饮建筑等，包含营业厅、专卖店、酒吧、茶室、餐厅等功能区域。</w:t>
      </w:r>
    </w:p>
    <w:p w14:paraId="0CA75BF0">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（5）展览建筑。涵盖美术馆、展览馆、博物馆等场所，包括展厅、展廊等展示空间。</w:t>
      </w:r>
    </w:p>
    <w:p w14:paraId="0B7EB95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（6）文娱建筑。适用于影剧院、娱乐场等，包括剧场、电影厅、音乐厅、舞厅、歌厅、游艺厅等文化休闲空间。</w:t>
      </w:r>
    </w:p>
    <w:p w14:paraId="179A00F3">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（7）体育建筑。涵盖体育馆、游泳馆等运动场所，适用于不同体育项目的比赛、训练及其配套辅助用房。</w:t>
      </w:r>
    </w:p>
    <w:p w14:paraId="0A232DCB">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（8）交通建筑。涵盖公路、铁路、水路、民航的车站及候机楼，包括候机厅、候车室、候船厅、售票厅等公共交通空间。</w:t>
      </w:r>
    </w:p>
    <w:p w14:paraId="02A06B1D">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（9）饭店旅馆宾馆。适用于饭店、旅馆、宾馆等，包括客房、大堂等住宿服务区域。</w:t>
      </w:r>
    </w:p>
    <w:p w14:paraId="5F39EB02">
      <w:pPr>
        <w:spacing w:before="100" w:beforeAutospacing="1" w:after="100" w:afterAutospacing="1" w:line="312" w:lineRule="auto"/>
        <w:rPr>
          <w:rFonts w:asciiTheme="minorEastAsia" w:hAnsiTheme="minorEastAsia" w:eastAsiaTheme="minorEastAsia"/>
          <w:sz w:val="24"/>
          <w:szCs w:val="24"/>
        </w:rPr>
        <w:sectPr>
          <w:pgSz w:w="11906" w:h="16838"/>
          <w:pgMar w:top="1440" w:right="1800" w:bottom="1440" w:left="1800" w:header="851" w:footer="992" w:gutter="0"/>
          <w:cols w:space="425" w:num="1"/>
          <w:docGrid w:type="lines" w:linePitch="312" w:charSpace="0"/>
        </w:sectPr>
      </w:pPr>
    </w:p>
    <w:p w14:paraId="4BF9A3C3">
      <w:pPr>
        <w:spacing w:before="100" w:beforeAutospacing="1" w:after="100" w:afterAutospacing="1" w:line="312" w:lineRule="auto"/>
        <w:jc w:val="center"/>
        <w:outlineLvl w:val="0"/>
        <w:rPr>
          <w:rFonts w:asciiTheme="minorEastAsia" w:hAnsiTheme="minorEastAsia" w:eastAsiaTheme="minorEastAsia"/>
          <w:b/>
          <w:bCs/>
          <w:sz w:val="28"/>
          <w:szCs w:val="28"/>
        </w:rPr>
      </w:pPr>
      <w:bookmarkStart w:id="350" w:name="_Toc5705"/>
      <w:bookmarkStart w:id="351" w:name="_Toc20706"/>
      <w:bookmarkStart w:id="352" w:name="_Toc3458"/>
      <w:r>
        <w:rPr>
          <w:rFonts w:asciiTheme="minorEastAsia" w:hAnsiTheme="minorEastAsia" w:eastAsiaTheme="minorEastAsia"/>
          <w:b/>
          <w:bCs/>
          <w:sz w:val="28"/>
          <w:szCs w:val="28"/>
        </w:rPr>
        <w:t>2 术语</w:t>
      </w:r>
      <w:bookmarkEnd w:id="350"/>
      <w:bookmarkEnd w:id="351"/>
      <w:bookmarkEnd w:id="352"/>
    </w:p>
    <w:p w14:paraId="430C603B">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2.0.</w:t>
      </w:r>
      <w:r>
        <w:rPr>
          <w:rFonts w:hint="eastAsia" w:asciiTheme="minorEastAsia" w:hAnsiTheme="minorEastAsia" w:eastAsiaTheme="minorEastAsia"/>
          <w:b/>
          <w:bCs/>
          <w:sz w:val="24"/>
          <w:szCs w:val="24"/>
        </w:rPr>
        <w:t>2</w:t>
      </w:r>
      <w:r>
        <w:rPr>
          <w:rFonts w:hint="eastAsia" w:asciiTheme="minorEastAsia" w:hAnsiTheme="minorEastAsia" w:eastAsiaTheme="minorEastAsia"/>
          <w:sz w:val="24"/>
          <w:szCs w:val="24"/>
        </w:rPr>
        <w:t>室内环境营造是一门综合性极强的学科，涉及多个领域，涵盖建筑学、社会学、民俗学、心理学、人体工程学、结构工程学、建筑物理学、建筑材料学等学科，同时涉及家具陈设、装饰材料的质地与性能、工艺美术、绿化、园林设计等艺术领域。</w:t>
      </w:r>
    </w:p>
    <w:p w14:paraId="4CD4A2F5">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建筑的室内环境不仅具备使用价值，需满足基本功能需求，还应体现历史文脉、建筑风格及环境氛围等精神层面的价值。因此，室内设计的核心目标应是创造既满足人们物质需求，又满足精神需求的优质室内环境。此外，室内环境应注重人本关怀，满足老人、女性、婴幼儿、儿童及身体不适人群的特殊需求，以提升空间的包容性和舒适性。</w:t>
      </w:r>
    </w:p>
    <w:p w14:paraId="147C5D95">
      <w:pPr>
        <w:spacing w:before="100" w:beforeAutospacing="1" w:after="100" w:afterAutospacing="1" w:line="312" w:lineRule="auto"/>
        <w:rPr>
          <w:rFonts w:asciiTheme="minorEastAsia" w:hAnsiTheme="minorEastAsia" w:eastAsiaTheme="minorEastAsia"/>
          <w:sz w:val="24"/>
          <w:szCs w:val="24"/>
        </w:rPr>
        <w:sectPr>
          <w:pgSz w:w="11906" w:h="16838"/>
          <w:pgMar w:top="1440" w:right="1800" w:bottom="1440" w:left="1800" w:header="851" w:footer="992" w:gutter="0"/>
          <w:cols w:space="425" w:num="1"/>
          <w:docGrid w:type="lines" w:linePitch="312" w:charSpace="0"/>
        </w:sectPr>
      </w:pPr>
    </w:p>
    <w:p w14:paraId="021EE909">
      <w:pPr>
        <w:spacing w:before="100" w:beforeAutospacing="1" w:after="100" w:afterAutospacing="1" w:line="312" w:lineRule="auto"/>
        <w:jc w:val="center"/>
        <w:outlineLvl w:val="0"/>
        <w:rPr>
          <w:rFonts w:asciiTheme="minorEastAsia" w:hAnsiTheme="minorEastAsia" w:eastAsiaTheme="minorEastAsia"/>
          <w:b/>
          <w:bCs/>
          <w:sz w:val="28"/>
          <w:szCs w:val="28"/>
        </w:rPr>
      </w:pPr>
      <w:bookmarkStart w:id="353" w:name="_Toc17484"/>
      <w:r>
        <w:rPr>
          <w:rFonts w:asciiTheme="minorEastAsia" w:hAnsiTheme="minorEastAsia" w:eastAsiaTheme="minorEastAsia"/>
          <w:b/>
          <w:bCs/>
          <w:sz w:val="28"/>
          <w:szCs w:val="28"/>
        </w:rPr>
        <w:t>3 基本规定</w:t>
      </w:r>
      <w:bookmarkEnd w:id="353"/>
    </w:p>
    <w:p w14:paraId="76DEB1D1">
      <w:pPr>
        <w:spacing w:before="100" w:beforeAutospacing="1" w:after="100" w:afterAutospacing="1" w:line="312" w:lineRule="auto"/>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3</w:t>
      </w:r>
      <w:r>
        <w:rPr>
          <w:rFonts w:asciiTheme="minorEastAsia" w:hAnsiTheme="minorEastAsia" w:eastAsiaTheme="minorEastAsia"/>
          <w:b/>
          <w:bCs/>
          <w:sz w:val="24"/>
          <w:szCs w:val="24"/>
        </w:rPr>
        <w:t>.0.</w:t>
      </w:r>
      <w:r>
        <w:rPr>
          <w:rFonts w:hint="eastAsia" w:asciiTheme="minorEastAsia" w:hAnsiTheme="minorEastAsia" w:eastAsiaTheme="minorEastAsia"/>
          <w:b/>
          <w:bCs/>
          <w:sz w:val="24"/>
          <w:szCs w:val="24"/>
        </w:rPr>
        <w:t>5</w:t>
      </w:r>
      <w:r>
        <w:rPr>
          <w:rFonts w:hint="eastAsia" w:asciiTheme="minorEastAsia" w:hAnsiTheme="minorEastAsia" w:eastAsiaTheme="minorEastAsia"/>
          <w:sz w:val="24"/>
          <w:szCs w:val="24"/>
        </w:rPr>
        <w:t>“室内装修”是指对建筑室内空间中的界面，如顶棚、墙面、柱面、地面、门窗及厨卫设施、固定家具进行维护、修饰，它是指对建筑基体、基层、面层的处理、修饰。而“室内装饰”则是指运用家具、陈设品等对室内环境进行美化处理。应根据室内功能空间的使用性质、所处环境，在保证建筑设计对住宅光环境、声环境、热环境和空气环境的质量要求的前提下，运用物质技术手段，并结合视觉艺术，进行建筑室内装饰装修的设计与施工，达到安全卫生、功能合理、舒适美观、满足人们物质和精神生活需要的空间效果。</w:t>
      </w:r>
    </w:p>
    <w:p w14:paraId="58589DEE">
      <w:pPr>
        <w:spacing w:before="100" w:beforeAutospacing="1" w:after="100" w:afterAutospacing="1" w:line="312"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建筑室内装饰装修应包括：</w:t>
      </w:r>
    </w:p>
    <w:p w14:paraId="5AAF9FBB">
      <w:pPr>
        <w:spacing w:before="100" w:beforeAutospacing="1" w:after="100" w:afterAutospacing="1" w:line="312"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 使用功能的细化、环境质量的提升、空间形态的完善；</w:t>
      </w:r>
    </w:p>
    <w:p w14:paraId="1E8FB4D5">
      <w:pPr>
        <w:spacing w:before="100" w:beforeAutospacing="1" w:after="100" w:afterAutospacing="1" w:line="312"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2 室内空间的墙面、顶棚、楼面或地面、内门、内窗、门窗套、固定隔断、固定家具及套内楼梯的装修；</w:t>
      </w:r>
    </w:p>
    <w:p w14:paraId="0A191870">
      <w:pPr>
        <w:spacing w:before="100" w:beforeAutospacing="1" w:after="100" w:afterAutospacing="1" w:line="312"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3 室内空间中活动家具、陈设品及部品、部件的选择和布置；</w:t>
      </w:r>
    </w:p>
    <w:p w14:paraId="7FCB37FB">
      <w:pPr>
        <w:spacing w:before="100" w:beforeAutospacing="1" w:after="100" w:afterAutospacing="1" w:line="312"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4 无障碍设计。</w:t>
      </w:r>
    </w:p>
    <w:p w14:paraId="322F9A56">
      <w:pPr>
        <w:spacing w:before="100" w:beforeAutospacing="1" w:after="100" w:afterAutospacing="1" w:line="312" w:lineRule="auto"/>
        <w:rPr>
          <w:rFonts w:asciiTheme="minorEastAsia" w:hAnsiTheme="minorEastAsia" w:eastAsiaTheme="minorEastAsia"/>
          <w:b/>
          <w:bCs/>
          <w:sz w:val="28"/>
          <w:szCs w:val="28"/>
        </w:rPr>
      </w:pPr>
      <w:r>
        <w:rPr>
          <w:rFonts w:asciiTheme="minorEastAsia" w:hAnsiTheme="minorEastAsia" w:eastAsiaTheme="minorEastAsia"/>
          <w:b/>
          <w:bCs/>
          <w:sz w:val="28"/>
          <w:szCs w:val="28"/>
        </w:rPr>
        <w:br w:type="page"/>
      </w:r>
    </w:p>
    <w:p w14:paraId="67409C59">
      <w:pPr>
        <w:spacing w:before="100" w:beforeAutospacing="1" w:after="100" w:afterAutospacing="1" w:line="312" w:lineRule="auto"/>
        <w:jc w:val="center"/>
        <w:outlineLvl w:val="0"/>
        <w:rPr>
          <w:rFonts w:asciiTheme="minorEastAsia" w:hAnsiTheme="minorEastAsia" w:eastAsiaTheme="minorEastAsia"/>
          <w:b/>
          <w:bCs/>
          <w:sz w:val="28"/>
          <w:szCs w:val="28"/>
        </w:rPr>
      </w:pPr>
      <w:bookmarkStart w:id="354" w:name="_Toc16624"/>
      <w:r>
        <w:rPr>
          <w:rFonts w:asciiTheme="minorEastAsia" w:hAnsiTheme="minorEastAsia" w:eastAsiaTheme="minorEastAsia"/>
          <w:b/>
          <w:bCs/>
          <w:sz w:val="28"/>
          <w:szCs w:val="28"/>
        </w:rPr>
        <w:t>4 环境指标</w:t>
      </w:r>
      <w:bookmarkEnd w:id="354"/>
    </w:p>
    <w:p w14:paraId="34BAEAA2">
      <w:pPr>
        <w:spacing w:before="100" w:beforeAutospacing="1" w:after="100" w:afterAutospacing="1" w:line="312" w:lineRule="auto"/>
        <w:jc w:val="center"/>
        <w:outlineLvl w:val="1"/>
        <w:rPr>
          <w:rFonts w:asciiTheme="minorEastAsia" w:hAnsiTheme="minorEastAsia" w:eastAsiaTheme="minorEastAsia"/>
          <w:b/>
          <w:bCs/>
          <w:sz w:val="24"/>
          <w:szCs w:val="24"/>
        </w:rPr>
      </w:pPr>
      <w:bookmarkStart w:id="355" w:name="_Toc11941"/>
      <w:bookmarkStart w:id="356" w:name="_Toc23878"/>
      <w:bookmarkStart w:id="357" w:name="_Toc32041"/>
      <w:r>
        <w:rPr>
          <w:rFonts w:asciiTheme="minorEastAsia" w:hAnsiTheme="minorEastAsia" w:eastAsiaTheme="minorEastAsia"/>
          <w:b/>
          <w:bCs/>
          <w:sz w:val="24"/>
          <w:szCs w:val="24"/>
        </w:rPr>
        <w:t>4.1 一般规定</w:t>
      </w:r>
      <w:bookmarkEnd w:id="355"/>
      <w:bookmarkEnd w:id="356"/>
      <w:bookmarkEnd w:id="357"/>
    </w:p>
    <w:p w14:paraId="01C81CB3">
      <w:pPr>
        <w:spacing w:before="100" w:beforeAutospacing="1" w:after="100" w:afterAutospacing="1" w:line="312" w:lineRule="auto"/>
        <w:jc w:val="center"/>
        <w:outlineLvl w:val="1"/>
        <w:rPr>
          <w:rFonts w:asciiTheme="minorEastAsia" w:hAnsiTheme="minorEastAsia" w:eastAsiaTheme="minorEastAsia"/>
          <w:b/>
          <w:bCs/>
          <w:sz w:val="28"/>
          <w:szCs w:val="28"/>
        </w:rPr>
      </w:pPr>
      <w:bookmarkStart w:id="358" w:name="_Toc14519"/>
      <w:bookmarkStart w:id="359" w:name="_Toc182"/>
      <w:bookmarkStart w:id="360" w:name="_Toc12927"/>
      <w:r>
        <w:rPr>
          <w:rFonts w:asciiTheme="minorEastAsia" w:hAnsiTheme="minorEastAsia" w:eastAsiaTheme="minorEastAsia"/>
          <w:b/>
          <w:bCs/>
          <w:sz w:val="24"/>
          <w:szCs w:val="24"/>
        </w:rPr>
        <w:t>4.2 物理环境</w:t>
      </w:r>
      <w:bookmarkEnd w:id="358"/>
      <w:bookmarkEnd w:id="359"/>
      <w:bookmarkEnd w:id="360"/>
    </w:p>
    <w:p w14:paraId="5EA25F98">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4.</w:t>
      </w:r>
      <w:r>
        <w:rPr>
          <w:rFonts w:hint="eastAsia" w:asciiTheme="minorEastAsia" w:hAnsiTheme="minorEastAsia" w:eastAsiaTheme="minorEastAsia"/>
          <w:b/>
          <w:bCs/>
          <w:sz w:val="24"/>
          <w:szCs w:val="24"/>
        </w:rPr>
        <w:t>2</w:t>
      </w:r>
      <w:r>
        <w:rPr>
          <w:rFonts w:asciiTheme="minorEastAsia" w:hAnsiTheme="minorEastAsia" w:eastAsiaTheme="minorEastAsia"/>
          <w:b/>
          <w:bCs/>
          <w:sz w:val="24"/>
          <w:szCs w:val="24"/>
        </w:rPr>
        <w:t>.4</w:t>
      </w:r>
      <w:r>
        <w:rPr>
          <w:rFonts w:hint="eastAsia" w:asciiTheme="minorEastAsia" w:hAnsiTheme="minorEastAsia" w:eastAsiaTheme="minorEastAsia"/>
          <w:b/>
          <w:bCs/>
          <w:sz w:val="24"/>
          <w:szCs w:val="24"/>
        </w:rPr>
        <w:t xml:space="preserve"> </w:t>
      </w:r>
      <w:r>
        <w:rPr>
          <w:rFonts w:hint="eastAsia" w:asciiTheme="minorEastAsia" w:hAnsiTheme="minorEastAsia" w:eastAsiaTheme="minorEastAsia"/>
          <w:sz w:val="24"/>
          <w:szCs w:val="24"/>
        </w:rPr>
        <w:t>观众厅满场合适混响时间的选择宜符合下列规定：</w:t>
      </w:r>
    </w:p>
    <w:p w14:paraId="163A37D7">
      <w:pPr>
        <w:spacing w:before="100" w:beforeAutospacing="1" w:after="100" w:afterAutospacing="1" w:line="312"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1. 在频率为 500 ～ 1000Hz 时，对不同容积的合适混响时间：歌剧、舞剧剧场宜采用图4.2.4-1 所示范围；话剧、戏曲剧场宜采用图4.2.4-2 所示范围；电影院宜采用图4.2.4-3 所示范围；会堂、报告厅和多用途礼堂宜采用图4.2.4 -4 所示范围。</w:t>
      </w:r>
    </w:p>
    <w:p w14:paraId="527D02FA">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3487420" cy="1985645"/>
            <wp:effectExtent l="0" t="0" r="17780" b="14605"/>
            <wp:docPr id="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描述已自动生成"/>
                    <pic:cNvPicPr>
                      <a:picLocks noChangeAspect="1"/>
                    </pic:cNvPicPr>
                  </pic:nvPicPr>
                  <pic:blipFill>
                    <a:blip r:embed="rId19"/>
                    <a:stretch>
                      <a:fillRect/>
                    </a:stretch>
                  </pic:blipFill>
                  <pic:spPr>
                    <a:xfrm>
                      <a:off x="0" y="0"/>
                      <a:ext cx="3514631" cy="2001045"/>
                    </a:xfrm>
                    <a:prstGeom prst="rect">
                      <a:avLst/>
                    </a:prstGeom>
                  </pic:spPr>
                </pic:pic>
              </a:graphicData>
            </a:graphic>
          </wp:inline>
        </w:drawing>
      </w:r>
    </w:p>
    <w:p w14:paraId="20E822CA">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图</w:t>
      </w:r>
      <w:r>
        <w:rPr>
          <w:rFonts w:asciiTheme="minorEastAsia" w:hAnsiTheme="minorEastAsia" w:eastAsiaTheme="minorEastAsia"/>
          <w:szCs w:val="21"/>
        </w:rPr>
        <w:t xml:space="preserve">4.2.4. -1 </w:t>
      </w:r>
      <w:r>
        <w:rPr>
          <w:rFonts w:hint="eastAsia" w:asciiTheme="minorEastAsia" w:hAnsiTheme="minorEastAsia" w:eastAsiaTheme="minorEastAsia"/>
          <w:szCs w:val="21"/>
        </w:rPr>
        <w:t>歌剧、舞剧剧场对不同容积</w:t>
      </w:r>
      <w:r>
        <w:rPr>
          <w:rFonts w:asciiTheme="minorEastAsia" w:hAnsiTheme="minorEastAsia" w:eastAsiaTheme="minorEastAsia"/>
          <w:szCs w:val="21"/>
        </w:rPr>
        <w:t xml:space="preserve"> V </w:t>
      </w:r>
      <w:r>
        <w:rPr>
          <w:rFonts w:hint="eastAsia" w:asciiTheme="minorEastAsia" w:hAnsiTheme="minorEastAsia" w:eastAsiaTheme="minorEastAsia"/>
          <w:szCs w:val="21"/>
        </w:rPr>
        <w:t>的观众厅，在频率</w:t>
      </w:r>
      <w:r>
        <w:rPr>
          <w:rFonts w:asciiTheme="minorEastAsia" w:hAnsiTheme="minorEastAsia" w:eastAsiaTheme="minorEastAsia"/>
          <w:szCs w:val="21"/>
        </w:rPr>
        <w:t xml:space="preserve"> 500 </w:t>
      </w:r>
      <w:r>
        <w:rPr>
          <w:rFonts w:hint="eastAsia" w:asciiTheme="minorEastAsia" w:hAnsiTheme="minorEastAsia" w:eastAsiaTheme="minorEastAsia"/>
          <w:szCs w:val="21"/>
        </w:rPr>
        <w:t>～</w:t>
      </w:r>
      <w:r>
        <w:rPr>
          <w:rFonts w:asciiTheme="minorEastAsia" w:hAnsiTheme="minorEastAsia" w:eastAsiaTheme="minorEastAsia"/>
          <w:szCs w:val="21"/>
        </w:rPr>
        <w:t xml:space="preserve"> 1000Hz </w:t>
      </w:r>
      <w:r>
        <w:rPr>
          <w:rFonts w:hint="eastAsia" w:asciiTheme="minorEastAsia" w:hAnsiTheme="minorEastAsia" w:eastAsiaTheme="minorEastAsia"/>
          <w:szCs w:val="21"/>
        </w:rPr>
        <w:t>时满场的合适混响时间</w:t>
      </w:r>
      <w:r>
        <w:rPr>
          <w:rFonts w:asciiTheme="minorEastAsia" w:hAnsiTheme="minorEastAsia" w:eastAsiaTheme="minorEastAsia"/>
          <w:szCs w:val="21"/>
        </w:rPr>
        <w:t xml:space="preserve"> T </w:t>
      </w:r>
      <w:r>
        <w:rPr>
          <w:rFonts w:hint="eastAsia" w:asciiTheme="minorEastAsia" w:hAnsiTheme="minorEastAsia" w:eastAsiaTheme="minorEastAsia"/>
          <w:szCs w:val="21"/>
        </w:rPr>
        <w:t>的范围</w:t>
      </w:r>
    </w:p>
    <w:p w14:paraId="048B5D6D">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3336290" cy="1848485"/>
            <wp:effectExtent l="0" t="0" r="16510" b="18415"/>
            <wp:docPr id="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20"/>
                    <a:stretch>
                      <a:fillRect/>
                    </a:stretch>
                  </pic:blipFill>
                  <pic:spPr>
                    <a:xfrm>
                      <a:off x="0" y="0"/>
                      <a:ext cx="3348580" cy="1855709"/>
                    </a:xfrm>
                    <a:prstGeom prst="rect">
                      <a:avLst/>
                    </a:prstGeom>
                  </pic:spPr>
                </pic:pic>
              </a:graphicData>
            </a:graphic>
          </wp:inline>
        </w:drawing>
      </w:r>
    </w:p>
    <w:p w14:paraId="718BE15B">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图</w:t>
      </w:r>
      <w:r>
        <w:rPr>
          <w:rFonts w:asciiTheme="minorEastAsia" w:hAnsiTheme="minorEastAsia" w:eastAsiaTheme="minorEastAsia"/>
          <w:szCs w:val="21"/>
        </w:rPr>
        <w:t xml:space="preserve">4.2.4-2 </w:t>
      </w:r>
      <w:r>
        <w:rPr>
          <w:rFonts w:hint="eastAsia" w:asciiTheme="minorEastAsia" w:hAnsiTheme="minorEastAsia" w:eastAsiaTheme="minorEastAsia"/>
          <w:szCs w:val="21"/>
        </w:rPr>
        <w:t>话剧、戏曲剧场对不同容积</w:t>
      </w:r>
      <w:r>
        <w:rPr>
          <w:rFonts w:asciiTheme="minorEastAsia" w:hAnsiTheme="minorEastAsia" w:eastAsiaTheme="minorEastAsia"/>
          <w:szCs w:val="21"/>
        </w:rPr>
        <w:t xml:space="preserve"> V </w:t>
      </w:r>
      <w:r>
        <w:rPr>
          <w:rFonts w:hint="eastAsia" w:asciiTheme="minorEastAsia" w:hAnsiTheme="minorEastAsia" w:eastAsiaTheme="minorEastAsia"/>
          <w:szCs w:val="21"/>
        </w:rPr>
        <w:t>的观众厅，在频率</w:t>
      </w:r>
      <w:r>
        <w:rPr>
          <w:rFonts w:asciiTheme="minorEastAsia" w:hAnsiTheme="minorEastAsia" w:eastAsiaTheme="minorEastAsia"/>
          <w:szCs w:val="21"/>
        </w:rPr>
        <w:t xml:space="preserve"> 500 </w:t>
      </w:r>
      <w:r>
        <w:rPr>
          <w:rFonts w:hint="eastAsia" w:asciiTheme="minorEastAsia" w:hAnsiTheme="minorEastAsia" w:eastAsiaTheme="minorEastAsia"/>
          <w:szCs w:val="21"/>
        </w:rPr>
        <w:t>～</w:t>
      </w:r>
      <w:r>
        <w:rPr>
          <w:rFonts w:asciiTheme="minorEastAsia" w:hAnsiTheme="minorEastAsia" w:eastAsiaTheme="minorEastAsia"/>
          <w:szCs w:val="21"/>
        </w:rPr>
        <w:t xml:space="preserve"> 1000Hz </w:t>
      </w:r>
      <w:r>
        <w:rPr>
          <w:rFonts w:hint="eastAsia" w:asciiTheme="minorEastAsia" w:hAnsiTheme="minorEastAsia" w:eastAsiaTheme="minorEastAsia"/>
          <w:szCs w:val="21"/>
        </w:rPr>
        <w:t>时满场的合适混响时间</w:t>
      </w:r>
      <w:r>
        <w:rPr>
          <w:rFonts w:asciiTheme="minorEastAsia" w:hAnsiTheme="minorEastAsia" w:eastAsiaTheme="minorEastAsia"/>
          <w:szCs w:val="21"/>
        </w:rPr>
        <w:t xml:space="preserve"> T </w:t>
      </w:r>
      <w:r>
        <w:rPr>
          <w:rFonts w:hint="eastAsia" w:asciiTheme="minorEastAsia" w:hAnsiTheme="minorEastAsia" w:eastAsiaTheme="minorEastAsia"/>
          <w:szCs w:val="21"/>
        </w:rPr>
        <w:t>的范围</w:t>
      </w:r>
    </w:p>
    <w:p w14:paraId="1E515A32">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3545840" cy="1880235"/>
            <wp:effectExtent l="0" t="0" r="16510" b="5715"/>
            <wp:docPr id="3"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表&#10;&#10;描述已自动生成"/>
                    <pic:cNvPicPr>
                      <a:picLocks noChangeAspect="1"/>
                    </pic:cNvPicPr>
                  </pic:nvPicPr>
                  <pic:blipFill>
                    <a:blip r:embed="rId21"/>
                    <a:stretch>
                      <a:fillRect/>
                    </a:stretch>
                  </pic:blipFill>
                  <pic:spPr>
                    <a:xfrm>
                      <a:off x="0" y="0"/>
                      <a:ext cx="3555314" cy="1885357"/>
                    </a:xfrm>
                    <a:prstGeom prst="rect">
                      <a:avLst/>
                    </a:prstGeom>
                  </pic:spPr>
                </pic:pic>
              </a:graphicData>
            </a:graphic>
          </wp:inline>
        </w:drawing>
      </w:r>
    </w:p>
    <w:p w14:paraId="31FDE6A3">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图</w:t>
      </w:r>
      <w:r>
        <w:rPr>
          <w:rFonts w:asciiTheme="minorEastAsia" w:hAnsiTheme="minorEastAsia" w:eastAsiaTheme="minorEastAsia"/>
          <w:szCs w:val="21"/>
        </w:rPr>
        <w:t>4.2.4-3</w:t>
      </w:r>
      <w:r>
        <w:rPr>
          <w:rFonts w:hint="eastAsia" w:asciiTheme="minorEastAsia" w:hAnsiTheme="minorEastAsia" w:eastAsiaTheme="minorEastAsia"/>
          <w:szCs w:val="21"/>
        </w:rPr>
        <w:t>电影院对不同容积</w:t>
      </w:r>
      <w:r>
        <w:rPr>
          <w:rFonts w:asciiTheme="minorEastAsia" w:hAnsiTheme="minorEastAsia" w:eastAsiaTheme="minorEastAsia"/>
          <w:szCs w:val="21"/>
        </w:rPr>
        <w:t xml:space="preserve"> V </w:t>
      </w:r>
      <w:r>
        <w:rPr>
          <w:rFonts w:hint="eastAsia" w:asciiTheme="minorEastAsia" w:hAnsiTheme="minorEastAsia" w:eastAsiaTheme="minorEastAsia"/>
          <w:szCs w:val="21"/>
        </w:rPr>
        <w:t>的观众厅，在</w:t>
      </w:r>
      <w:r>
        <w:rPr>
          <w:rFonts w:asciiTheme="minorEastAsia" w:hAnsiTheme="minorEastAsia" w:eastAsiaTheme="minorEastAsia"/>
          <w:szCs w:val="21"/>
        </w:rPr>
        <w:t xml:space="preserve"> 500 </w:t>
      </w:r>
      <w:r>
        <w:rPr>
          <w:rFonts w:hint="eastAsia" w:asciiTheme="minorEastAsia" w:hAnsiTheme="minorEastAsia" w:eastAsiaTheme="minorEastAsia"/>
          <w:szCs w:val="21"/>
        </w:rPr>
        <w:t>～</w:t>
      </w:r>
      <w:r>
        <w:rPr>
          <w:rFonts w:asciiTheme="minorEastAsia" w:hAnsiTheme="minorEastAsia" w:eastAsiaTheme="minorEastAsia"/>
          <w:szCs w:val="21"/>
        </w:rPr>
        <w:t xml:space="preserve"> 1000Hz </w:t>
      </w:r>
      <w:r>
        <w:rPr>
          <w:rFonts w:hint="eastAsia" w:asciiTheme="minorEastAsia" w:hAnsiTheme="minorEastAsia" w:eastAsiaTheme="minorEastAsia"/>
          <w:szCs w:val="21"/>
        </w:rPr>
        <w:t>时满场的合适混响时间</w:t>
      </w:r>
      <w:r>
        <w:rPr>
          <w:rFonts w:asciiTheme="minorEastAsia" w:hAnsiTheme="minorEastAsia" w:eastAsiaTheme="minorEastAsia"/>
          <w:szCs w:val="21"/>
        </w:rPr>
        <w:t xml:space="preserve"> T </w:t>
      </w:r>
      <w:r>
        <w:rPr>
          <w:rFonts w:hint="eastAsia" w:asciiTheme="minorEastAsia" w:hAnsiTheme="minorEastAsia" w:eastAsiaTheme="minorEastAsia"/>
          <w:szCs w:val="21"/>
        </w:rPr>
        <w:t>的范围</w:t>
      </w:r>
    </w:p>
    <w:p w14:paraId="7485D713">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3648710" cy="1881505"/>
            <wp:effectExtent l="0" t="0" r="889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3667259" cy="1891026"/>
                    </a:xfrm>
                    <a:prstGeom prst="rect">
                      <a:avLst/>
                    </a:prstGeom>
                  </pic:spPr>
                </pic:pic>
              </a:graphicData>
            </a:graphic>
          </wp:inline>
        </w:drawing>
      </w:r>
    </w:p>
    <w:p w14:paraId="4D98E844">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图</w:t>
      </w:r>
      <w:r>
        <w:rPr>
          <w:rFonts w:asciiTheme="minorEastAsia" w:hAnsiTheme="minorEastAsia" w:eastAsiaTheme="minorEastAsia"/>
          <w:szCs w:val="21"/>
        </w:rPr>
        <w:t>4.2.4-4</w:t>
      </w:r>
      <w:r>
        <w:rPr>
          <w:rFonts w:hint="eastAsia" w:asciiTheme="minorEastAsia" w:hAnsiTheme="minorEastAsia" w:eastAsiaTheme="minorEastAsia"/>
          <w:szCs w:val="21"/>
        </w:rPr>
        <w:t>会堂、报告厅和多用途礼堂对不同容积</w:t>
      </w:r>
      <w:r>
        <w:rPr>
          <w:rFonts w:asciiTheme="minorEastAsia" w:hAnsiTheme="minorEastAsia" w:eastAsiaTheme="minorEastAsia"/>
          <w:szCs w:val="21"/>
        </w:rPr>
        <w:t xml:space="preserve"> V </w:t>
      </w:r>
      <w:r>
        <w:rPr>
          <w:rFonts w:hint="eastAsia" w:asciiTheme="minorEastAsia" w:hAnsiTheme="minorEastAsia" w:eastAsiaTheme="minorEastAsia"/>
          <w:szCs w:val="21"/>
        </w:rPr>
        <w:t>的观众厅，在</w:t>
      </w:r>
      <w:r>
        <w:rPr>
          <w:rFonts w:asciiTheme="minorEastAsia" w:hAnsiTheme="minorEastAsia" w:eastAsiaTheme="minorEastAsia"/>
          <w:szCs w:val="21"/>
        </w:rPr>
        <w:t xml:space="preserve"> 500 </w:t>
      </w:r>
      <w:r>
        <w:rPr>
          <w:rFonts w:hint="eastAsia" w:asciiTheme="minorEastAsia" w:hAnsiTheme="minorEastAsia" w:eastAsiaTheme="minorEastAsia"/>
          <w:szCs w:val="21"/>
        </w:rPr>
        <w:t>～</w:t>
      </w:r>
      <w:r>
        <w:rPr>
          <w:rFonts w:asciiTheme="minorEastAsia" w:hAnsiTheme="minorEastAsia" w:eastAsiaTheme="minorEastAsia"/>
          <w:szCs w:val="21"/>
        </w:rPr>
        <w:t xml:space="preserve"> 1000Hz </w:t>
      </w:r>
      <w:r>
        <w:rPr>
          <w:rFonts w:hint="eastAsia" w:asciiTheme="minorEastAsia" w:hAnsiTheme="minorEastAsia" w:eastAsiaTheme="minorEastAsia"/>
          <w:szCs w:val="21"/>
        </w:rPr>
        <w:t>时满场的合适混响时间</w:t>
      </w:r>
      <w:r>
        <w:rPr>
          <w:rFonts w:asciiTheme="minorEastAsia" w:hAnsiTheme="minorEastAsia" w:eastAsiaTheme="minorEastAsia"/>
          <w:szCs w:val="21"/>
        </w:rPr>
        <w:t xml:space="preserve"> T </w:t>
      </w:r>
      <w:r>
        <w:rPr>
          <w:rFonts w:hint="eastAsia" w:asciiTheme="minorEastAsia" w:hAnsiTheme="minorEastAsia" w:eastAsiaTheme="minorEastAsia"/>
          <w:szCs w:val="21"/>
        </w:rPr>
        <w:t>的范</w:t>
      </w:r>
    </w:p>
    <w:p w14:paraId="7E1355FC">
      <w:pPr>
        <w:spacing w:before="100" w:beforeAutospacing="1" w:after="100" w:afterAutospacing="1" w:line="312" w:lineRule="auto"/>
        <w:rPr>
          <w:rFonts w:asciiTheme="minorEastAsia" w:hAnsiTheme="minorEastAsia" w:eastAsiaTheme="minorEastAsia"/>
          <w:b/>
          <w:bCs/>
          <w:sz w:val="24"/>
          <w:szCs w:val="24"/>
        </w:rPr>
      </w:pPr>
      <w:r>
        <w:rPr>
          <w:rFonts w:asciiTheme="minorEastAsia" w:hAnsiTheme="minorEastAsia" w:eastAsiaTheme="minorEastAsia"/>
          <w:b/>
          <w:bCs/>
          <w:sz w:val="24"/>
          <w:szCs w:val="24"/>
        </w:rPr>
        <w:t>4.</w:t>
      </w:r>
      <w:r>
        <w:rPr>
          <w:rFonts w:hint="eastAsia" w:asciiTheme="minorEastAsia" w:hAnsiTheme="minorEastAsia" w:eastAsiaTheme="minorEastAsia"/>
          <w:b/>
          <w:bCs/>
          <w:sz w:val="24"/>
          <w:szCs w:val="24"/>
        </w:rPr>
        <w:t>2</w:t>
      </w:r>
      <w:r>
        <w:rPr>
          <w:rFonts w:asciiTheme="minorEastAsia" w:hAnsiTheme="minorEastAsia" w:eastAsiaTheme="minorEastAsia"/>
          <w:b/>
          <w:bCs/>
          <w:sz w:val="24"/>
          <w:szCs w:val="24"/>
        </w:rPr>
        <w:t>.</w:t>
      </w:r>
      <w:r>
        <w:rPr>
          <w:rFonts w:hint="eastAsia" w:asciiTheme="minorEastAsia" w:hAnsiTheme="minorEastAsia" w:eastAsiaTheme="minorEastAsia"/>
          <w:b/>
          <w:bCs/>
          <w:sz w:val="24"/>
          <w:szCs w:val="24"/>
        </w:rPr>
        <w:t xml:space="preserve">6 </w:t>
      </w:r>
      <w:r>
        <w:rPr>
          <w:rFonts w:hint="eastAsia" w:asciiTheme="minorEastAsia" w:hAnsiTheme="minorEastAsia" w:eastAsiaTheme="minorEastAsia"/>
          <w:kern w:val="0"/>
          <w:sz w:val="24"/>
          <w:szCs w:val="24"/>
        </w:rPr>
        <w:t>本条文对室内照明的各项技术指标及功能要求作出了明确规定。</w:t>
      </w:r>
    </w:p>
    <w:p w14:paraId="46D6AA38">
      <w:pPr>
        <w:autoSpaceDE w:val="0"/>
        <w:autoSpaceDN w:val="0"/>
        <w:adjustRightInd w:val="0"/>
        <w:spacing w:before="100" w:beforeAutospacing="1" w:after="100" w:afterAutospacing="1" w:line="312" w:lineRule="auto"/>
        <w:ind w:firstLine="602" w:firstLineChars="250"/>
        <w:jc w:val="left"/>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 xml:space="preserve">第1款 </w:t>
      </w:r>
      <w:r>
        <w:rPr>
          <w:rFonts w:hint="eastAsia" w:asciiTheme="minorEastAsia" w:hAnsiTheme="minorEastAsia" w:eastAsiaTheme="minorEastAsia"/>
          <w:kern w:val="0"/>
          <w:sz w:val="24"/>
          <w:szCs w:val="24"/>
        </w:rPr>
        <w:t>艺术照明不仅需要满足基本的照明功能，还应结合特定场景的营造需求，通过光影效果、色彩搭配等手段，提升空间的美学价值和氛围感。例如，在展览馆、酒店大堂等场所，艺术照明可通过聚焦、渐变等手法突出展品或装饰元素。此外，本款特别针对阅览室、教室、办公室、书房等场所提出了桌面照度的限制要求。这些场所的共同特点是需要长时间进行视觉集中作业，过高的照度可能导致眼睛疲劳、干涩等不适症状。</w:t>
      </w:r>
    </w:p>
    <w:p w14:paraId="344D01FB">
      <w:pPr>
        <w:autoSpaceDE w:val="0"/>
        <w:autoSpaceDN w:val="0"/>
        <w:adjustRightInd w:val="0"/>
        <w:spacing w:before="100" w:beforeAutospacing="1" w:after="100" w:afterAutospacing="1" w:line="312" w:lineRule="auto"/>
        <w:ind w:firstLine="602" w:firstLineChars="250"/>
        <w:jc w:val="left"/>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 xml:space="preserve">第2款 </w:t>
      </w:r>
      <w:r>
        <w:rPr>
          <w:rFonts w:asciiTheme="minorEastAsia" w:hAnsiTheme="minorEastAsia" w:eastAsiaTheme="minorEastAsia"/>
          <w:kern w:val="0"/>
          <w:sz w:val="24"/>
          <w:szCs w:val="24"/>
        </w:rPr>
        <w:t>随着电视、电脑等电子设备逐步在中小学校中普及，视觉显示终端系统系统对视力的影响日益加大。视觉终端系统良好的显示性能，有助于降低对视力的损伤，有助于缓解近年来儿童青少年近视低龄化、重度化的突出矛盾。</w:t>
      </w:r>
    </w:p>
    <w:p w14:paraId="0951D9A5">
      <w:pPr>
        <w:autoSpaceDE w:val="0"/>
        <w:autoSpaceDN w:val="0"/>
        <w:adjustRightInd w:val="0"/>
        <w:spacing w:before="100" w:beforeAutospacing="1" w:after="100" w:afterAutospacing="1" w:line="312" w:lineRule="auto"/>
        <w:ind w:firstLine="480" w:firstLineChars="200"/>
        <w:jc w:val="left"/>
        <w:rPr>
          <w:rFonts w:asciiTheme="minorEastAsia" w:hAnsiTheme="minorEastAsia" w:eastAsiaTheme="minorEastAsia"/>
          <w:kern w:val="0"/>
          <w:sz w:val="24"/>
          <w:szCs w:val="24"/>
        </w:rPr>
      </w:pPr>
      <w:r>
        <w:rPr>
          <w:rFonts w:asciiTheme="minorEastAsia" w:hAnsiTheme="minorEastAsia" w:eastAsiaTheme="minorEastAsia"/>
          <w:kern w:val="0"/>
          <w:sz w:val="24"/>
          <w:szCs w:val="24"/>
        </w:rPr>
        <w:t>多媒体产品技术应符合现行国家标准《儿童青少年学习用品近视防控卫生要求》GB 40070的相关要求，具体参数要求详见表4.</w:t>
      </w:r>
      <w:r>
        <w:rPr>
          <w:rFonts w:hint="eastAsia" w:asciiTheme="minorEastAsia" w:hAnsiTheme="minorEastAsia" w:eastAsiaTheme="minorEastAsia"/>
          <w:kern w:val="0"/>
          <w:sz w:val="24"/>
          <w:szCs w:val="24"/>
        </w:rPr>
        <w:t>2</w:t>
      </w:r>
      <w:r>
        <w:rPr>
          <w:rFonts w:asciiTheme="minorEastAsia" w:hAnsiTheme="minorEastAsia" w:eastAsiaTheme="minorEastAsia"/>
          <w:kern w:val="0"/>
          <w:sz w:val="24"/>
          <w:szCs w:val="24"/>
        </w:rPr>
        <w:t>.</w:t>
      </w:r>
      <w:r>
        <w:rPr>
          <w:rFonts w:hint="eastAsia" w:asciiTheme="minorEastAsia" w:hAnsiTheme="minorEastAsia" w:eastAsiaTheme="minorEastAsia"/>
          <w:kern w:val="0"/>
          <w:sz w:val="24"/>
          <w:szCs w:val="24"/>
        </w:rPr>
        <w:t>6</w:t>
      </w:r>
      <w:r>
        <w:rPr>
          <w:rFonts w:asciiTheme="minorEastAsia" w:hAnsiTheme="minorEastAsia" w:eastAsiaTheme="minorEastAsia"/>
          <w:kern w:val="0"/>
          <w:sz w:val="24"/>
          <w:szCs w:val="24"/>
        </w:rPr>
        <w:t>-1。</w:t>
      </w:r>
    </w:p>
    <w:p w14:paraId="24175227">
      <w:pPr>
        <w:autoSpaceDE w:val="0"/>
        <w:autoSpaceDN w:val="0"/>
        <w:adjustRightInd w:val="0"/>
        <w:spacing w:before="100" w:beforeAutospacing="1" w:after="100" w:afterAutospacing="1" w:line="312" w:lineRule="auto"/>
        <w:ind w:firstLine="360" w:firstLineChars="150"/>
        <w:jc w:val="center"/>
        <w:rPr>
          <w:rFonts w:asciiTheme="minorEastAsia" w:hAnsiTheme="minorEastAsia" w:eastAsiaTheme="minorEastAsia"/>
          <w:kern w:val="0"/>
          <w:sz w:val="24"/>
          <w:szCs w:val="24"/>
        </w:rPr>
      </w:pPr>
      <w:r>
        <w:rPr>
          <w:rFonts w:asciiTheme="minorEastAsia" w:hAnsiTheme="minorEastAsia" w:eastAsiaTheme="minorEastAsia"/>
          <w:kern w:val="0"/>
          <w:sz w:val="24"/>
          <w:szCs w:val="24"/>
        </w:rPr>
        <w:t>表4.</w:t>
      </w:r>
      <w:r>
        <w:rPr>
          <w:rFonts w:hint="eastAsia" w:asciiTheme="minorEastAsia" w:hAnsiTheme="minorEastAsia" w:eastAsiaTheme="minorEastAsia"/>
          <w:kern w:val="0"/>
          <w:sz w:val="24"/>
          <w:szCs w:val="24"/>
        </w:rPr>
        <w:t>2</w:t>
      </w:r>
      <w:r>
        <w:rPr>
          <w:rFonts w:asciiTheme="minorEastAsia" w:hAnsiTheme="minorEastAsia" w:eastAsiaTheme="minorEastAsia"/>
          <w:kern w:val="0"/>
          <w:sz w:val="24"/>
          <w:szCs w:val="24"/>
        </w:rPr>
        <w:t>.</w:t>
      </w:r>
      <w:r>
        <w:rPr>
          <w:rFonts w:hint="eastAsia" w:asciiTheme="minorEastAsia" w:hAnsiTheme="minorEastAsia" w:eastAsiaTheme="minorEastAsia"/>
          <w:kern w:val="0"/>
          <w:sz w:val="24"/>
          <w:szCs w:val="24"/>
        </w:rPr>
        <w:t>6</w:t>
      </w:r>
      <w:r>
        <w:rPr>
          <w:rFonts w:asciiTheme="minorEastAsia" w:hAnsiTheme="minorEastAsia" w:eastAsiaTheme="minorEastAsia"/>
          <w:kern w:val="0"/>
          <w:sz w:val="24"/>
          <w:szCs w:val="24"/>
        </w:rPr>
        <w:t>-1 多媒体产品显示技术要求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984"/>
        <w:gridCol w:w="4253"/>
      </w:tblGrid>
      <w:tr w14:paraId="2D4F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19" w:type="dxa"/>
            <w:gridSpan w:val="2"/>
            <w:vAlign w:val="center"/>
          </w:tcPr>
          <w:p w14:paraId="2DB77963">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项目</w:t>
            </w:r>
          </w:p>
        </w:tc>
        <w:tc>
          <w:tcPr>
            <w:tcW w:w="4253" w:type="dxa"/>
            <w:vAlign w:val="center"/>
          </w:tcPr>
          <w:p w14:paraId="72B88EEC">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要求</w:t>
            </w:r>
          </w:p>
        </w:tc>
      </w:tr>
      <w:tr w14:paraId="3138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19" w:type="dxa"/>
            <w:gridSpan w:val="2"/>
            <w:vAlign w:val="center"/>
          </w:tcPr>
          <w:p w14:paraId="6DDB40B1">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光输出（投影设备）</w:t>
            </w:r>
          </w:p>
        </w:tc>
        <w:tc>
          <w:tcPr>
            <w:tcW w:w="4253" w:type="dxa"/>
            <w:vAlign w:val="center"/>
          </w:tcPr>
          <w:p w14:paraId="0F4DA829">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≥标称值的</w:t>
            </w:r>
            <w:r>
              <w:rPr>
                <w:rFonts w:asciiTheme="minorEastAsia" w:hAnsiTheme="minorEastAsia" w:eastAsiaTheme="minorEastAsia"/>
                <w:kern w:val="0"/>
                <w:sz w:val="22"/>
                <w:szCs w:val="22"/>
              </w:rPr>
              <w:t>80%</w:t>
            </w:r>
          </w:p>
        </w:tc>
      </w:tr>
      <w:tr w14:paraId="564E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5" w:type="dxa"/>
            <w:vAlign w:val="center"/>
          </w:tcPr>
          <w:p w14:paraId="6F51DF2E">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最大屏幕亮度</w:t>
            </w:r>
            <w:r>
              <w:rPr>
                <w:rFonts w:asciiTheme="minorEastAsia" w:hAnsiTheme="minorEastAsia" w:eastAsiaTheme="minorEastAsia"/>
                <w:kern w:val="0"/>
                <w:sz w:val="22"/>
                <w:szCs w:val="22"/>
              </w:rPr>
              <w:t>*</w:t>
            </w:r>
          </w:p>
        </w:tc>
        <w:tc>
          <w:tcPr>
            <w:tcW w:w="1984" w:type="dxa"/>
            <w:vAlign w:val="center"/>
          </w:tcPr>
          <w:p w14:paraId="32EBD5C8">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投影设备</w:t>
            </w:r>
          </w:p>
        </w:tc>
        <w:tc>
          <w:tcPr>
            <w:tcW w:w="4253" w:type="dxa"/>
            <w:vAlign w:val="center"/>
          </w:tcPr>
          <w:p w14:paraId="1C752D0E">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w:t>
            </w:r>
            <w:r>
              <w:rPr>
                <w:rFonts w:asciiTheme="minorEastAsia" w:hAnsiTheme="minorEastAsia" w:eastAsiaTheme="minorEastAsia"/>
                <w:kern w:val="0"/>
                <w:sz w:val="22"/>
                <w:szCs w:val="22"/>
              </w:rPr>
              <w:t>200cd/m2</w:t>
            </w:r>
          </w:p>
        </w:tc>
      </w:tr>
      <w:tr w14:paraId="6113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19" w:type="dxa"/>
            <w:gridSpan w:val="2"/>
            <w:vAlign w:val="center"/>
          </w:tcPr>
          <w:p w14:paraId="0FF82BFF">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电视视频显示系统</w:t>
            </w:r>
          </w:p>
        </w:tc>
        <w:tc>
          <w:tcPr>
            <w:tcW w:w="4253" w:type="dxa"/>
            <w:vAlign w:val="center"/>
          </w:tcPr>
          <w:p w14:paraId="3EBC83A5">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w:t>
            </w:r>
            <w:r>
              <w:rPr>
                <w:rFonts w:asciiTheme="minorEastAsia" w:hAnsiTheme="minorEastAsia" w:eastAsiaTheme="minorEastAsia"/>
                <w:kern w:val="0"/>
                <w:sz w:val="22"/>
                <w:szCs w:val="22"/>
              </w:rPr>
              <w:t>300cd/m2</w:t>
            </w:r>
          </w:p>
        </w:tc>
      </w:tr>
      <w:tr w14:paraId="5025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5" w:type="dxa"/>
            <w:vMerge w:val="restart"/>
            <w:vAlign w:val="center"/>
          </w:tcPr>
          <w:p w14:paraId="34A56BA0">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亮度对比度</w:t>
            </w:r>
          </w:p>
        </w:tc>
        <w:tc>
          <w:tcPr>
            <w:tcW w:w="1984" w:type="dxa"/>
            <w:vAlign w:val="center"/>
          </w:tcPr>
          <w:p w14:paraId="491EB25D">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投影设备</w:t>
            </w:r>
          </w:p>
        </w:tc>
        <w:tc>
          <w:tcPr>
            <w:tcW w:w="4253" w:type="dxa"/>
            <w:vAlign w:val="center"/>
          </w:tcPr>
          <w:p w14:paraId="39AD8070">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r>
              <w:rPr>
                <w:rFonts w:hint="eastAsia" w:asciiTheme="minorEastAsia" w:hAnsiTheme="minorEastAsia" w:eastAsiaTheme="minorEastAsia"/>
                <w:kern w:val="0"/>
                <w:sz w:val="22"/>
                <w:szCs w:val="22"/>
              </w:rPr>
              <w:t>≥</w:t>
            </w:r>
            <w:r>
              <w:rPr>
                <w:rFonts w:asciiTheme="minorEastAsia" w:hAnsiTheme="minorEastAsia" w:eastAsiaTheme="minorEastAsia"/>
                <w:kern w:val="0"/>
                <w:sz w:val="22"/>
                <w:szCs w:val="22"/>
              </w:rPr>
              <w:t>500</w:t>
            </w:r>
            <w:r>
              <w:rPr>
                <w:rFonts w:hint="eastAsia" w:asciiTheme="minorEastAsia" w:hAnsiTheme="minorEastAsia" w:eastAsiaTheme="minorEastAsia"/>
                <w:kern w:val="0"/>
                <w:sz w:val="22"/>
                <w:szCs w:val="22"/>
              </w:rPr>
              <w:t>：</w:t>
            </w:r>
            <w:r>
              <w:rPr>
                <w:rFonts w:asciiTheme="minorEastAsia" w:hAnsiTheme="minorEastAsia" w:eastAsiaTheme="minorEastAsia"/>
                <w:kern w:val="0"/>
                <w:sz w:val="22"/>
                <w:szCs w:val="22"/>
              </w:rPr>
              <w:t>1</w:t>
            </w:r>
          </w:p>
        </w:tc>
      </w:tr>
      <w:tr w14:paraId="36E8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5" w:type="dxa"/>
            <w:vMerge w:val="continue"/>
            <w:vAlign w:val="center"/>
          </w:tcPr>
          <w:p w14:paraId="3ACA30CE">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p>
        </w:tc>
        <w:tc>
          <w:tcPr>
            <w:tcW w:w="1984" w:type="dxa"/>
            <w:vAlign w:val="center"/>
          </w:tcPr>
          <w:p w14:paraId="79BF1065">
            <w:pPr>
              <w:spacing w:before="100" w:beforeAutospacing="1" w:after="100" w:afterAutospacing="1"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电视视频显示系统</w:t>
            </w:r>
          </w:p>
        </w:tc>
        <w:tc>
          <w:tcPr>
            <w:tcW w:w="4253" w:type="dxa"/>
            <w:vAlign w:val="center"/>
          </w:tcPr>
          <w:p w14:paraId="31E4F06C">
            <w:pPr>
              <w:spacing w:before="100" w:beforeAutospacing="1" w:after="100" w:afterAutospacing="1" w:line="312"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电视视频显示系统</w:t>
            </w:r>
          </w:p>
        </w:tc>
      </w:tr>
      <w:tr w14:paraId="6CF5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19" w:type="dxa"/>
            <w:gridSpan w:val="2"/>
            <w:vAlign w:val="center"/>
          </w:tcPr>
          <w:p w14:paraId="04B76D07">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亮度均匀性（电视视频显示系统）</w:t>
            </w:r>
          </w:p>
        </w:tc>
        <w:tc>
          <w:tcPr>
            <w:tcW w:w="4253" w:type="dxa"/>
            <w:vAlign w:val="center"/>
          </w:tcPr>
          <w:p w14:paraId="0BDE5F2B">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w:t>
            </w:r>
            <w:r>
              <w:rPr>
                <w:rFonts w:cs="Times New Roman" w:asciiTheme="minorEastAsia" w:hAnsiTheme="minorEastAsia" w:eastAsiaTheme="minorEastAsia"/>
                <w:color w:val="auto"/>
                <w:sz w:val="22"/>
                <w:szCs w:val="22"/>
              </w:rPr>
              <w:t>70%</w:t>
            </w:r>
          </w:p>
        </w:tc>
      </w:tr>
      <w:tr w14:paraId="0153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19" w:type="dxa"/>
            <w:gridSpan w:val="2"/>
            <w:vAlign w:val="center"/>
          </w:tcPr>
          <w:p w14:paraId="256A0DD6">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照度均匀性（投影设备）</w:t>
            </w:r>
          </w:p>
        </w:tc>
        <w:tc>
          <w:tcPr>
            <w:tcW w:w="4253" w:type="dxa"/>
            <w:vAlign w:val="center"/>
          </w:tcPr>
          <w:p w14:paraId="70A19166">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w:t>
            </w:r>
            <w:r>
              <w:rPr>
                <w:rFonts w:cs="Times New Roman" w:asciiTheme="minorEastAsia" w:hAnsiTheme="minorEastAsia" w:eastAsiaTheme="minorEastAsia"/>
                <w:color w:val="auto"/>
                <w:sz w:val="22"/>
                <w:szCs w:val="22"/>
              </w:rPr>
              <w:t>80%</w:t>
            </w:r>
          </w:p>
        </w:tc>
      </w:tr>
      <w:tr w14:paraId="2C33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19" w:type="dxa"/>
            <w:gridSpan w:val="2"/>
            <w:vAlign w:val="center"/>
          </w:tcPr>
          <w:p w14:paraId="0901E302">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闪烁</w:t>
            </w:r>
          </w:p>
        </w:tc>
        <w:tc>
          <w:tcPr>
            <w:tcW w:w="4253" w:type="dxa"/>
            <w:vAlign w:val="center"/>
          </w:tcPr>
          <w:p w14:paraId="286E6659">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不应出现可察觉的闪烁；</w:t>
            </w:r>
          </w:p>
          <w:p w14:paraId="2E59202A">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闪烁等级≤</w:t>
            </w:r>
            <w:r>
              <w:rPr>
                <w:rFonts w:cs="Times New Roman" w:asciiTheme="minorEastAsia" w:hAnsiTheme="minorEastAsia" w:eastAsiaTheme="minorEastAsia"/>
                <w:color w:val="auto"/>
                <w:sz w:val="22"/>
                <w:szCs w:val="22"/>
              </w:rPr>
              <w:t>-30dB</w:t>
            </w:r>
            <w:r>
              <w:rPr>
                <w:rFonts w:hint="eastAsia" w:cs="Times New Roman" w:asciiTheme="minorEastAsia" w:hAnsiTheme="minorEastAsia" w:eastAsiaTheme="minorEastAsia"/>
                <w:color w:val="auto"/>
                <w:sz w:val="22"/>
                <w:szCs w:val="22"/>
              </w:rPr>
              <w:t>（</w:t>
            </w:r>
            <w:r>
              <w:rPr>
                <w:rFonts w:cs="Times New Roman" w:asciiTheme="minorEastAsia" w:hAnsiTheme="minorEastAsia" w:eastAsiaTheme="minorEastAsia"/>
                <w:color w:val="auto"/>
                <w:sz w:val="22"/>
                <w:szCs w:val="22"/>
              </w:rPr>
              <w:t>60Hz</w:t>
            </w:r>
            <w:r>
              <w:rPr>
                <w:rFonts w:hint="eastAsia" w:cs="Times New Roman" w:asciiTheme="minorEastAsia" w:hAnsiTheme="minorEastAsia" w:eastAsiaTheme="minorEastAsia"/>
                <w:color w:val="auto"/>
                <w:sz w:val="22"/>
                <w:szCs w:val="22"/>
              </w:rPr>
              <w:t>）</w:t>
            </w:r>
          </w:p>
        </w:tc>
      </w:tr>
      <w:tr w14:paraId="7C12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19" w:type="dxa"/>
            <w:gridSpan w:val="2"/>
            <w:vAlign w:val="center"/>
          </w:tcPr>
          <w:p w14:paraId="56783036">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蓝光防护要求</w:t>
            </w:r>
          </w:p>
        </w:tc>
        <w:tc>
          <w:tcPr>
            <w:tcW w:w="4253" w:type="dxa"/>
            <w:vAlign w:val="center"/>
          </w:tcPr>
          <w:p w14:paraId="5BDE5940">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cs="Times New Roman" w:asciiTheme="minorEastAsia" w:hAnsiTheme="minorEastAsia" w:eastAsiaTheme="minorEastAsia"/>
                <w:color w:val="auto"/>
                <w:sz w:val="22"/>
                <w:szCs w:val="22"/>
              </w:rPr>
              <w:t>RG0</w:t>
            </w:r>
          </w:p>
        </w:tc>
      </w:tr>
      <w:tr w14:paraId="5982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5" w:type="dxa"/>
            <w:vMerge w:val="restart"/>
            <w:vAlign w:val="center"/>
          </w:tcPr>
          <w:p w14:paraId="798DB7C5">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亮度可视角</w:t>
            </w:r>
          </w:p>
          <w:p w14:paraId="4CD007D0">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p>
        </w:tc>
        <w:tc>
          <w:tcPr>
            <w:tcW w:w="1984" w:type="dxa"/>
            <w:vAlign w:val="center"/>
          </w:tcPr>
          <w:p w14:paraId="63C88B28">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投影设备</w:t>
            </w:r>
          </w:p>
        </w:tc>
        <w:tc>
          <w:tcPr>
            <w:tcW w:w="4253" w:type="dxa"/>
            <w:vAlign w:val="center"/>
          </w:tcPr>
          <w:p w14:paraId="1F8F5A25">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w:t>
            </w:r>
            <w:r>
              <w:rPr>
                <w:rFonts w:cs="Times New Roman" w:asciiTheme="minorEastAsia" w:hAnsiTheme="minorEastAsia" w:eastAsiaTheme="minorEastAsia"/>
                <w:color w:val="auto"/>
                <w:sz w:val="22"/>
                <w:szCs w:val="22"/>
              </w:rPr>
              <w:t>120</w:t>
            </w:r>
            <w:r>
              <w:rPr>
                <w:rFonts w:hint="eastAsia" w:cs="Times New Roman" w:asciiTheme="minorEastAsia" w:hAnsiTheme="minorEastAsia" w:eastAsiaTheme="minorEastAsia"/>
                <w:color w:val="auto"/>
                <w:sz w:val="22"/>
                <w:szCs w:val="22"/>
              </w:rPr>
              <w:t>°</w:t>
            </w:r>
          </w:p>
        </w:tc>
      </w:tr>
      <w:tr w14:paraId="5196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5" w:type="dxa"/>
            <w:vMerge w:val="continue"/>
            <w:vAlign w:val="center"/>
          </w:tcPr>
          <w:p w14:paraId="6BEF976A">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p>
        </w:tc>
        <w:tc>
          <w:tcPr>
            <w:tcW w:w="1984" w:type="dxa"/>
            <w:vAlign w:val="center"/>
          </w:tcPr>
          <w:p w14:paraId="6190BFF5">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电视视频显示系统</w:t>
            </w:r>
          </w:p>
        </w:tc>
        <w:tc>
          <w:tcPr>
            <w:tcW w:w="4253" w:type="dxa"/>
            <w:vAlign w:val="center"/>
          </w:tcPr>
          <w:p w14:paraId="0920FCFD">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水平≥</w:t>
            </w:r>
            <w:r>
              <w:rPr>
                <w:rFonts w:cs="Times New Roman" w:asciiTheme="minorEastAsia" w:hAnsiTheme="minorEastAsia" w:eastAsiaTheme="minorEastAsia"/>
                <w:color w:val="auto"/>
                <w:sz w:val="22"/>
                <w:szCs w:val="22"/>
              </w:rPr>
              <w:t>120</w:t>
            </w:r>
            <w:r>
              <w:rPr>
                <w:rFonts w:hint="eastAsia" w:cs="Times New Roman" w:asciiTheme="minorEastAsia" w:hAnsiTheme="minorEastAsia" w:eastAsiaTheme="minorEastAsia"/>
                <w:color w:val="auto"/>
                <w:sz w:val="22"/>
                <w:szCs w:val="22"/>
              </w:rPr>
              <w:t>°，垂直≥</w:t>
            </w:r>
            <w:r>
              <w:rPr>
                <w:rFonts w:cs="Times New Roman" w:asciiTheme="minorEastAsia" w:hAnsiTheme="minorEastAsia" w:eastAsiaTheme="minorEastAsia"/>
                <w:color w:val="auto"/>
                <w:sz w:val="22"/>
                <w:szCs w:val="22"/>
              </w:rPr>
              <w:t>60</w:t>
            </w:r>
            <w:r>
              <w:rPr>
                <w:rFonts w:hint="eastAsia" w:cs="Times New Roman" w:asciiTheme="minorEastAsia" w:hAnsiTheme="minorEastAsia" w:eastAsiaTheme="minorEastAsia"/>
                <w:color w:val="auto"/>
                <w:sz w:val="22"/>
                <w:szCs w:val="22"/>
              </w:rPr>
              <w:t>°</w:t>
            </w:r>
          </w:p>
        </w:tc>
      </w:tr>
      <w:tr w14:paraId="4D48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235" w:type="dxa"/>
            <w:vMerge w:val="restart"/>
            <w:vAlign w:val="center"/>
          </w:tcPr>
          <w:p w14:paraId="0870F022">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屏幕尺寸</w:t>
            </w:r>
          </w:p>
          <w:p w14:paraId="6FB8F78E">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p>
        </w:tc>
        <w:tc>
          <w:tcPr>
            <w:tcW w:w="1984" w:type="dxa"/>
            <w:vAlign w:val="center"/>
          </w:tcPr>
          <w:p w14:paraId="25FDED10">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投影设备</w:t>
            </w:r>
          </w:p>
        </w:tc>
        <w:tc>
          <w:tcPr>
            <w:tcW w:w="4253" w:type="dxa"/>
            <w:vAlign w:val="center"/>
          </w:tcPr>
          <w:p w14:paraId="197C36A3">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投影屏幕≥</w:t>
            </w:r>
            <w:r>
              <w:rPr>
                <w:rFonts w:cs="Times New Roman" w:asciiTheme="minorEastAsia" w:hAnsiTheme="minorEastAsia" w:eastAsiaTheme="minorEastAsia"/>
                <w:color w:val="auto"/>
                <w:sz w:val="22"/>
                <w:szCs w:val="22"/>
              </w:rPr>
              <w:t>80in</w:t>
            </w:r>
          </w:p>
        </w:tc>
      </w:tr>
      <w:tr w14:paraId="09C1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235" w:type="dxa"/>
            <w:vMerge w:val="continue"/>
            <w:vAlign w:val="center"/>
          </w:tcPr>
          <w:p w14:paraId="7CA2A8A1">
            <w:pPr>
              <w:autoSpaceDE w:val="0"/>
              <w:autoSpaceDN w:val="0"/>
              <w:adjustRightInd w:val="0"/>
              <w:spacing w:before="100" w:beforeAutospacing="1" w:after="100" w:afterAutospacing="1" w:line="312" w:lineRule="auto"/>
              <w:jc w:val="center"/>
              <w:rPr>
                <w:rFonts w:asciiTheme="minorEastAsia" w:hAnsiTheme="minorEastAsia" w:eastAsiaTheme="minorEastAsia"/>
                <w:kern w:val="0"/>
                <w:sz w:val="22"/>
                <w:szCs w:val="22"/>
              </w:rPr>
            </w:pPr>
          </w:p>
        </w:tc>
        <w:tc>
          <w:tcPr>
            <w:tcW w:w="1984" w:type="dxa"/>
            <w:vAlign w:val="center"/>
          </w:tcPr>
          <w:p w14:paraId="072C32CF">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电视视频显示系统</w:t>
            </w:r>
          </w:p>
        </w:tc>
        <w:tc>
          <w:tcPr>
            <w:tcW w:w="4253" w:type="dxa"/>
            <w:vAlign w:val="center"/>
          </w:tcPr>
          <w:p w14:paraId="45A5EEAA">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显示器屏幕≥</w:t>
            </w:r>
            <w:r>
              <w:rPr>
                <w:rFonts w:cs="Times New Roman" w:asciiTheme="minorEastAsia" w:hAnsiTheme="minorEastAsia" w:eastAsiaTheme="minorEastAsia"/>
                <w:color w:val="auto"/>
                <w:sz w:val="22"/>
                <w:szCs w:val="22"/>
              </w:rPr>
              <w:t>60in</w:t>
            </w:r>
          </w:p>
        </w:tc>
      </w:tr>
      <w:tr w14:paraId="4BCA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72" w:type="dxa"/>
            <w:gridSpan w:val="3"/>
            <w:vAlign w:val="center"/>
          </w:tcPr>
          <w:p w14:paraId="69826E36">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hint="eastAsia" w:cs="Times New Roman" w:asciiTheme="minorEastAsia" w:hAnsiTheme="minorEastAsia" w:eastAsiaTheme="minorEastAsia"/>
                <w:color w:val="auto"/>
                <w:sz w:val="22"/>
                <w:szCs w:val="22"/>
              </w:rPr>
              <w:t>注：</w:t>
            </w:r>
            <w:r>
              <w:rPr>
                <w:rFonts w:cs="Times New Roman" w:asciiTheme="minorEastAsia" w:hAnsiTheme="minorEastAsia" w:eastAsiaTheme="minorEastAsia"/>
                <w:color w:val="auto"/>
                <w:sz w:val="22"/>
                <w:szCs w:val="22"/>
              </w:rPr>
              <w:t>1in</w:t>
            </w:r>
            <w:r>
              <w:rPr>
                <w:rFonts w:hint="eastAsia" w:cs="Times New Roman" w:asciiTheme="minorEastAsia" w:hAnsiTheme="minorEastAsia" w:eastAsiaTheme="minorEastAsia"/>
                <w:color w:val="auto"/>
                <w:sz w:val="22"/>
                <w:szCs w:val="22"/>
              </w:rPr>
              <w:t>≈</w:t>
            </w:r>
            <w:r>
              <w:rPr>
                <w:rFonts w:cs="Times New Roman" w:asciiTheme="minorEastAsia" w:hAnsiTheme="minorEastAsia" w:eastAsiaTheme="minorEastAsia"/>
                <w:color w:val="auto"/>
                <w:sz w:val="22"/>
                <w:szCs w:val="22"/>
              </w:rPr>
              <w:t>2.54cm</w:t>
            </w:r>
          </w:p>
        </w:tc>
      </w:tr>
      <w:tr w14:paraId="68E5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72" w:type="dxa"/>
            <w:gridSpan w:val="3"/>
            <w:vAlign w:val="center"/>
          </w:tcPr>
          <w:p w14:paraId="439C93FA">
            <w:pPr>
              <w:pStyle w:val="26"/>
              <w:spacing w:before="100" w:beforeAutospacing="1" w:after="100" w:afterAutospacing="1" w:line="312" w:lineRule="auto"/>
              <w:jc w:val="center"/>
              <w:rPr>
                <w:rFonts w:cs="Times New Roman" w:asciiTheme="minorEastAsia" w:hAnsiTheme="minorEastAsia" w:eastAsiaTheme="minorEastAsia"/>
                <w:color w:val="auto"/>
                <w:sz w:val="22"/>
                <w:szCs w:val="22"/>
              </w:rPr>
            </w:pPr>
            <w:r>
              <w:rPr>
                <w:rFonts w:cs="Times New Roman" w:asciiTheme="minorEastAsia" w:hAnsiTheme="minorEastAsia" w:eastAsiaTheme="minorEastAsia"/>
                <w:color w:val="auto"/>
                <w:sz w:val="22"/>
                <w:szCs w:val="22"/>
              </w:rPr>
              <w:t>*</w:t>
            </w:r>
            <w:r>
              <w:rPr>
                <w:rFonts w:hint="eastAsia" w:cs="Times New Roman" w:asciiTheme="minorEastAsia" w:hAnsiTheme="minorEastAsia" w:eastAsiaTheme="minorEastAsia"/>
                <w:color w:val="auto"/>
                <w:sz w:val="22"/>
                <w:szCs w:val="22"/>
              </w:rPr>
              <w:t>教学多媒体产品使用时屏幕亮度应不大于</w:t>
            </w:r>
            <w:r>
              <w:rPr>
                <w:rFonts w:cs="Times New Roman" w:asciiTheme="minorEastAsia" w:hAnsiTheme="minorEastAsia" w:eastAsiaTheme="minorEastAsia"/>
                <w:color w:val="auto"/>
                <w:sz w:val="22"/>
                <w:szCs w:val="22"/>
              </w:rPr>
              <w:t>400cd/ m2</w:t>
            </w:r>
          </w:p>
        </w:tc>
      </w:tr>
    </w:tbl>
    <w:p w14:paraId="4E0BD3DA">
      <w:pPr>
        <w:spacing w:before="100" w:beforeAutospacing="1" w:after="100" w:afterAutospacing="1" w:line="312" w:lineRule="auto"/>
        <w:ind w:firstLine="360" w:firstLineChars="150"/>
        <w:rPr>
          <w:rFonts w:asciiTheme="minorEastAsia" w:hAnsiTheme="minorEastAsia" w:eastAsiaTheme="minorEastAsia"/>
          <w:sz w:val="24"/>
          <w:szCs w:val="24"/>
        </w:rPr>
      </w:pPr>
    </w:p>
    <w:p w14:paraId="36CB3C4B">
      <w:pPr>
        <w:pStyle w:val="26"/>
        <w:spacing w:before="100" w:beforeAutospacing="1" w:after="100" w:afterAutospacing="1" w:line="312" w:lineRule="auto"/>
        <w:ind w:firstLine="602" w:firstLineChars="250"/>
        <w:rPr>
          <w:rFonts w:cs="Times New Roman" w:asciiTheme="minorEastAsia" w:hAnsiTheme="minorEastAsia" w:eastAsiaTheme="minorEastAsia"/>
          <w:color w:val="auto"/>
        </w:rPr>
      </w:pPr>
      <w:r>
        <w:rPr>
          <w:rFonts w:hint="eastAsia" w:cs="Times New Roman" w:asciiTheme="minorEastAsia" w:hAnsiTheme="minorEastAsia" w:eastAsiaTheme="minorEastAsia"/>
          <w:b/>
          <w:bCs/>
          <w:color w:val="auto"/>
        </w:rPr>
        <w:t>第3款</w:t>
      </w:r>
      <w:r>
        <w:rPr>
          <w:rFonts w:cs="Times New Roman" w:asciiTheme="minorEastAsia" w:hAnsiTheme="minorEastAsia" w:eastAsiaTheme="minorEastAsia"/>
          <w:color w:val="auto"/>
        </w:rPr>
        <w:t xml:space="preserve"> 夜间光线进入人眼会抑制褪黑素的分泌降低人的睡眠质量。现有研究表明，在相同照度水平下，色温越高，对褪黑素的抑制效果越明显。因此，为降低照明对人们夜间休息的影响，本条对室内外各类场所的照明色温进行了限制。</w:t>
      </w:r>
    </w:p>
    <w:p w14:paraId="2DD4EAE1">
      <w:pPr>
        <w:pStyle w:val="26"/>
        <w:spacing w:before="100" w:beforeAutospacing="1" w:after="100" w:afterAutospacing="1" w:line="312" w:lineRule="auto"/>
        <w:ind w:firstLine="602" w:firstLineChars="250"/>
        <w:rPr>
          <w:rFonts w:cs="Times New Roman" w:asciiTheme="minorEastAsia" w:hAnsiTheme="minorEastAsia" w:eastAsiaTheme="minorEastAsia"/>
          <w:color w:val="auto"/>
        </w:rPr>
      </w:pPr>
      <w:r>
        <w:rPr>
          <w:rFonts w:hint="eastAsia" w:cs="Times New Roman" w:asciiTheme="minorEastAsia" w:hAnsiTheme="minorEastAsia" w:eastAsiaTheme="minorEastAsia"/>
          <w:b/>
          <w:bCs/>
          <w:color w:val="auto"/>
        </w:rPr>
        <w:t>第4款</w:t>
      </w:r>
      <w:r>
        <w:rPr>
          <w:rFonts w:cs="Times New Roman" w:asciiTheme="minorEastAsia" w:hAnsiTheme="minorEastAsia" w:eastAsiaTheme="minorEastAsia"/>
          <w:color w:val="auto"/>
        </w:rPr>
        <w:t xml:space="preserve"> 在照明颜色质量方面，一方面，照明光源的显色指数越高，环境视觉质量越好，因此根据室内外视觉活动特点，分别对其显色性进行约束；另一方面，相同光源间存在较大色差也会显著影响光环境的质量，而色容差是衡量色差的重要指标，为保证视觉舒适性，规定室内照明色容差≤5SDCM，室外照明色容差≤7SDCM。</w:t>
      </w:r>
    </w:p>
    <w:p w14:paraId="5C438736">
      <w:pPr>
        <w:pStyle w:val="26"/>
        <w:spacing w:before="100" w:beforeAutospacing="1" w:after="100" w:afterAutospacing="1" w:line="312" w:lineRule="auto"/>
        <w:ind w:firstLine="602" w:firstLineChars="250"/>
        <w:rPr>
          <w:rFonts w:cs="Times New Roman" w:asciiTheme="minorEastAsia" w:hAnsiTheme="minorEastAsia" w:eastAsiaTheme="minorEastAsia"/>
          <w:color w:val="auto"/>
        </w:rPr>
      </w:pPr>
      <w:r>
        <w:rPr>
          <w:rFonts w:hint="eastAsia" w:cs="Times New Roman" w:asciiTheme="minorEastAsia" w:hAnsiTheme="minorEastAsia" w:eastAsiaTheme="minorEastAsia"/>
          <w:b/>
          <w:bCs/>
          <w:color w:val="auto"/>
        </w:rPr>
        <w:t>第5款</w:t>
      </w:r>
      <w:r>
        <w:rPr>
          <w:rFonts w:cs="Times New Roman" w:asciiTheme="minorEastAsia" w:hAnsiTheme="minorEastAsia" w:eastAsiaTheme="minorEastAsia"/>
          <w:color w:val="auto"/>
        </w:rPr>
        <w:t xml:space="preserve"> 人们长期生活在光环境下，光辐射的暴露不当可能会对人体产生危害，危害类型包括紫外辐射危害、蓝光危害和热危害、红外辐射危害等。照明产品的光生物安全性可分为四类：无危险类（RG0）、1类危险（RG1）、2 类危险（RG2）和3类危险（RG3），数值越大，潜在的光生物危害越大。为尽可能减少光生物危害，健康建筑光环境应选择无危险类（RG0）的照明产品。</w:t>
      </w:r>
    </w:p>
    <w:p w14:paraId="25A71BC7">
      <w:pPr>
        <w:pStyle w:val="26"/>
        <w:spacing w:before="100" w:beforeAutospacing="1" w:after="100" w:afterAutospacing="1" w:line="312" w:lineRule="auto"/>
        <w:ind w:firstLine="602" w:firstLineChars="250"/>
        <w:rPr>
          <w:rFonts w:cs="Times New Roman" w:asciiTheme="minorEastAsia" w:hAnsiTheme="minorEastAsia" w:eastAsiaTheme="minorEastAsia"/>
          <w:color w:val="auto"/>
        </w:rPr>
      </w:pPr>
      <w:r>
        <w:rPr>
          <w:rFonts w:hint="eastAsia" w:cs="Times New Roman" w:asciiTheme="minorEastAsia" w:hAnsiTheme="minorEastAsia" w:eastAsiaTheme="minorEastAsia"/>
          <w:b/>
          <w:bCs/>
          <w:color w:val="auto"/>
        </w:rPr>
        <w:t>第6款</w:t>
      </w:r>
      <w:r>
        <w:rPr>
          <w:rFonts w:cs="Times New Roman" w:asciiTheme="minorEastAsia" w:hAnsiTheme="minorEastAsia" w:eastAsiaTheme="minorEastAsia"/>
          <w:color w:val="auto"/>
        </w:rPr>
        <w:t xml:space="preserve"> 人眼可直接观察到的光的明暗波动可能导致视觉性能的下降，引起视觉疲劳甚至如癫痫、偏头痛等严重的健康问题。随着LED照明应用的广泛普及，与之相关的闪烁问题也倍受关注，国际电工委员会（IEC）标准《一般照明用设备电磁兼容抗扰度要求第1部分：一种光闪烁计和电压波动抗扰度测试方法（Equipment for general lighting purposes - EMC immunity requirements - Part 1: An objective light flicker meter and voltage fluctuation immunity test method）》IEC TR 61547-1：2017提出光源和灯具的可见闪烁可采用闪变指数（PstLM）进行评价，其数值等于1表示50%的实验者刚好感觉到闪烁。频闪效应是除短时可见闪烁外的另一类非可见频闪，频率范围在80Hz以上，可能引起身体不适及头痛，对人体健康有潜在的不良影响。国际照明委员会（CIE）于2016年提出了技术文件《随时间波动的照明系统的视觉现象——定义及测量模型（Visual Aspects of Time - Modulated Lighting Systems- Definitions and Measurement Models）》CIE TN 006: 2016，该文件分别从基础研究和模型以及现有标准两个方面对于评价频闪的方法和指标进行了梳理，并提出了频闪效应可视度（stroboscopic effect visibility measure），即SVM指标。该指标考虑了光输出波形变化产生的频闪影响，其适用条件为中速移动≤4m/s，覆盖普通的工作环境，适用于调光和非调光的各类照明产品，是目前CIE和IEC主要推荐的频闪评价指标。</w:t>
      </w:r>
    </w:p>
    <w:p w14:paraId="16E1701F">
      <w:pPr>
        <w:pStyle w:val="26"/>
        <w:spacing w:before="100" w:beforeAutospacing="1" w:after="100" w:afterAutospacing="1" w:line="312" w:lineRule="auto"/>
        <w:ind w:firstLine="602" w:firstLineChars="250"/>
        <w:rPr>
          <w:rFonts w:cs="Times New Roman" w:asciiTheme="minorEastAsia" w:hAnsiTheme="minorEastAsia" w:eastAsiaTheme="minorEastAsia"/>
          <w:color w:val="auto"/>
        </w:rPr>
      </w:pPr>
      <w:r>
        <w:rPr>
          <w:rFonts w:hint="eastAsia" w:cs="Times New Roman" w:asciiTheme="minorEastAsia" w:hAnsiTheme="minorEastAsia" w:eastAsiaTheme="minorEastAsia"/>
          <w:b/>
          <w:bCs/>
          <w:color w:val="auto"/>
        </w:rPr>
        <w:t>第7款</w:t>
      </w:r>
      <w:r>
        <w:rPr>
          <w:rFonts w:cs="Times New Roman" w:asciiTheme="minorEastAsia" w:hAnsiTheme="minorEastAsia" w:eastAsiaTheme="minorEastAsia"/>
          <w:color w:val="auto"/>
        </w:rPr>
        <w:t xml:space="preserve"> 在选择照明方案时，应进行照明计算以避免室外光污染，并根据现行行业标准《城市夜景照明设计规范》JGJ/T 163的相关规定合理选择照明产品及布。</w:t>
      </w:r>
    </w:p>
    <w:p w14:paraId="61970C08">
      <w:pPr>
        <w:pStyle w:val="26"/>
        <w:spacing w:before="100" w:beforeAutospacing="1" w:after="100" w:afterAutospacing="1" w:line="312" w:lineRule="auto"/>
        <w:rPr>
          <w:rFonts w:cs="Times New Roman" w:asciiTheme="minorEastAsia" w:hAnsiTheme="minorEastAsia" w:eastAsiaTheme="minorEastAsia"/>
          <w:color w:val="auto"/>
        </w:rPr>
      </w:pPr>
      <w:r>
        <w:rPr>
          <w:rFonts w:asciiTheme="minorEastAsia" w:hAnsiTheme="minorEastAsia" w:eastAsiaTheme="minorEastAsia"/>
          <w:b/>
          <w:bCs/>
          <w:color w:val="auto"/>
        </w:rPr>
        <w:t>4.</w:t>
      </w:r>
      <w:r>
        <w:rPr>
          <w:rFonts w:hint="eastAsia" w:asciiTheme="minorEastAsia" w:hAnsiTheme="minorEastAsia" w:eastAsiaTheme="minorEastAsia"/>
          <w:b/>
          <w:bCs/>
          <w:color w:val="auto"/>
        </w:rPr>
        <w:t>2</w:t>
      </w:r>
      <w:r>
        <w:rPr>
          <w:rFonts w:asciiTheme="minorEastAsia" w:hAnsiTheme="minorEastAsia" w:eastAsiaTheme="minorEastAsia"/>
          <w:b/>
          <w:bCs/>
          <w:color w:val="auto"/>
        </w:rPr>
        <w:t>.</w:t>
      </w:r>
      <w:r>
        <w:rPr>
          <w:rFonts w:hint="eastAsia" w:asciiTheme="minorEastAsia" w:hAnsiTheme="minorEastAsia" w:eastAsiaTheme="minorEastAsia"/>
          <w:b/>
          <w:bCs/>
          <w:color w:val="auto"/>
        </w:rPr>
        <w:t xml:space="preserve">7  </w:t>
      </w:r>
      <w:r>
        <w:rPr>
          <w:rFonts w:hint="eastAsia" w:cs="Times New Roman" w:asciiTheme="minorEastAsia" w:hAnsiTheme="minorEastAsia" w:eastAsiaTheme="minorEastAsia"/>
          <w:color w:val="auto"/>
        </w:rPr>
        <w:t>本条文规定建筑室内电磁环境指标应不超过现行国家标准《电磁环境控制限值》GB 8702规定的75%，旨在确保室内电磁辐射水平处于安全范围内，保障人体健康和生活环境的舒适性。通过将限值设定为国标的75%，进一步提高了安全裕度，为长期居住或工作的人员提供额外的保护，同时符合绿色建筑和健康建筑的设计理念。电磁环境的限值因频率范围和应用场景的不同而有所差异，下表为《电磁环境控制限值》（GB 8702-2014）限值要求。</w:t>
      </w:r>
    </w:p>
    <w:p w14:paraId="7AB586A3">
      <w:pPr>
        <w:spacing w:before="100" w:beforeAutospacing="1" w:after="100" w:afterAutospacing="1" w:line="312"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4541520" cy="2872105"/>
            <wp:effectExtent l="0" t="0" r="11430" b="444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3" cstate="print"/>
                    <a:srcRect/>
                    <a:stretch>
                      <a:fillRect/>
                    </a:stretch>
                  </pic:blipFill>
                  <pic:spPr>
                    <a:xfrm>
                      <a:off x="0" y="0"/>
                      <a:ext cx="4541520" cy="2872105"/>
                    </a:xfrm>
                    <a:prstGeom prst="rect">
                      <a:avLst/>
                    </a:prstGeom>
                    <a:ln>
                      <a:noFill/>
                    </a:ln>
                  </pic:spPr>
                </pic:pic>
              </a:graphicData>
            </a:graphic>
          </wp:inline>
        </w:drawing>
      </w:r>
    </w:p>
    <w:p w14:paraId="20FB2576">
      <w:pPr>
        <w:spacing w:before="100" w:beforeAutospacing="1" w:after="100" w:afterAutospacing="1" w:line="312"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4507230" cy="2549525"/>
            <wp:effectExtent l="0" t="0" r="7620" b="317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4" cstate="print"/>
                    <a:srcRect/>
                    <a:stretch>
                      <a:fillRect/>
                    </a:stretch>
                  </pic:blipFill>
                  <pic:spPr>
                    <a:xfrm>
                      <a:off x="0" y="0"/>
                      <a:ext cx="4507230" cy="2549525"/>
                    </a:xfrm>
                    <a:prstGeom prst="rect">
                      <a:avLst/>
                    </a:prstGeom>
                    <a:ln>
                      <a:noFill/>
                    </a:ln>
                  </pic:spPr>
                </pic:pic>
              </a:graphicData>
            </a:graphic>
          </wp:inline>
        </w:drawing>
      </w:r>
    </w:p>
    <w:p w14:paraId="5DD8D849">
      <w:pPr>
        <w:spacing w:before="100" w:beforeAutospacing="1" w:after="100" w:afterAutospacing="1" w:line="312"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4537075" cy="2889885"/>
            <wp:effectExtent l="0" t="0" r="15875" b="5715"/>
            <wp:docPr id="8" name="图片 6"/>
            <wp:cNvGraphicFramePr/>
            <a:graphic xmlns:a="http://schemas.openxmlformats.org/drawingml/2006/main">
              <a:graphicData uri="http://schemas.openxmlformats.org/drawingml/2006/picture">
                <pic:pic xmlns:pic="http://schemas.openxmlformats.org/drawingml/2006/picture">
                  <pic:nvPicPr>
                    <pic:cNvPr id="8" name="图片 6"/>
                    <pic:cNvPicPr/>
                  </pic:nvPicPr>
                  <pic:blipFill>
                    <a:blip r:embed="rId25" cstate="print"/>
                    <a:srcRect/>
                    <a:stretch>
                      <a:fillRect/>
                    </a:stretch>
                  </pic:blipFill>
                  <pic:spPr>
                    <a:xfrm>
                      <a:off x="0" y="0"/>
                      <a:ext cx="4537075" cy="2889885"/>
                    </a:xfrm>
                    <a:prstGeom prst="rect">
                      <a:avLst/>
                    </a:prstGeom>
                    <a:ln>
                      <a:noFill/>
                    </a:ln>
                  </pic:spPr>
                </pic:pic>
              </a:graphicData>
            </a:graphic>
          </wp:inline>
        </w:drawing>
      </w:r>
    </w:p>
    <w:p w14:paraId="62EE601A">
      <w:pPr>
        <w:spacing w:before="100" w:beforeAutospacing="1" w:after="100" w:afterAutospacing="1" w:line="312"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4730115" cy="2923540"/>
            <wp:effectExtent l="0" t="0" r="13335" b="1016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6" cstate="print"/>
                    <a:srcRect/>
                    <a:stretch>
                      <a:fillRect/>
                    </a:stretch>
                  </pic:blipFill>
                  <pic:spPr>
                    <a:xfrm>
                      <a:off x="0" y="0"/>
                      <a:ext cx="4730115" cy="2923540"/>
                    </a:xfrm>
                    <a:prstGeom prst="rect">
                      <a:avLst/>
                    </a:prstGeom>
                    <a:ln>
                      <a:noFill/>
                    </a:ln>
                  </pic:spPr>
                </pic:pic>
              </a:graphicData>
            </a:graphic>
          </wp:inline>
        </w:drawing>
      </w:r>
    </w:p>
    <w:p w14:paraId="6DE9C1C0">
      <w:pPr>
        <w:spacing w:before="100" w:beforeAutospacing="1" w:after="100" w:afterAutospacing="1" w:line="312" w:lineRule="auto"/>
        <w:jc w:val="center"/>
        <w:rPr>
          <w:rFonts w:hint="eastAsia" w:asciiTheme="minorEastAsia" w:hAnsiTheme="minorEastAsia" w:eastAsiaTheme="minorEastAsia" w:cstheme="minorEastAsia"/>
        </w:rPr>
      </w:pPr>
    </w:p>
    <w:p w14:paraId="3BBAC9B4">
      <w:pPr>
        <w:spacing w:before="100" w:beforeAutospacing="1" w:after="100" w:afterAutospacing="1" w:line="312" w:lineRule="auto"/>
        <w:ind w:firstLine="482" w:firstLineChars="200"/>
        <w:jc w:val="center"/>
        <w:outlineLvl w:val="1"/>
        <w:rPr>
          <w:rFonts w:asciiTheme="minorEastAsia" w:hAnsiTheme="minorEastAsia" w:eastAsiaTheme="minorEastAsia"/>
          <w:b/>
          <w:bCs/>
          <w:sz w:val="24"/>
          <w:szCs w:val="24"/>
        </w:rPr>
      </w:pPr>
      <w:bookmarkStart w:id="361" w:name="_Toc27811"/>
      <w:bookmarkStart w:id="362" w:name="_Toc14297"/>
      <w:bookmarkStart w:id="363" w:name="_Toc4910"/>
      <w:r>
        <w:rPr>
          <w:rFonts w:asciiTheme="minorEastAsia" w:hAnsiTheme="minorEastAsia" w:eastAsiaTheme="minorEastAsia"/>
          <w:b/>
          <w:bCs/>
          <w:sz w:val="24"/>
          <w:szCs w:val="24"/>
        </w:rPr>
        <w:t>4.3 化学环境</w:t>
      </w:r>
      <w:bookmarkEnd w:id="361"/>
      <w:bookmarkEnd w:id="362"/>
      <w:bookmarkEnd w:id="363"/>
    </w:p>
    <w:p w14:paraId="07D8C80D">
      <w:pPr>
        <w:spacing w:before="100" w:beforeAutospacing="1" w:after="100" w:afterAutospacing="1" w:line="312" w:lineRule="auto"/>
        <w:jc w:val="left"/>
        <w:rPr>
          <w:rFonts w:asciiTheme="minorEastAsia" w:hAnsiTheme="minorEastAsia" w:eastAsiaTheme="minorEastAsia"/>
          <w:kern w:val="0"/>
          <w:sz w:val="24"/>
          <w:szCs w:val="24"/>
        </w:rPr>
      </w:pPr>
      <w:r>
        <w:rPr>
          <w:rFonts w:hint="eastAsia" w:cs="宋体" w:asciiTheme="minorEastAsia" w:hAnsiTheme="minorEastAsia" w:eastAsiaTheme="minorEastAsia"/>
          <w:b/>
          <w:bCs/>
          <w:sz w:val="24"/>
          <w:szCs w:val="24"/>
        </w:rPr>
        <w:t>4.3.1</w:t>
      </w:r>
      <w:r>
        <w:rPr>
          <w:rFonts w:hint="eastAsia" w:asciiTheme="minorEastAsia" w:hAnsiTheme="minorEastAsia" w:eastAsiaTheme="minorEastAsia"/>
          <w:kern w:val="0"/>
          <w:sz w:val="24"/>
          <w:szCs w:val="24"/>
        </w:rPr>
        <w:t>在室内装修时，建筑材料和家居制品的使用会向室内空气释放甲醛、挥发性有机物等污染物，通常室内VOCs的浓度是室外的2~10倍。一些VOCs对人体健康的急性影响主要是刺激眼睛和呼吸道，导致流泪、皮肤过敏，严重者使人产生头痛、咽痛与乏力等症状，其中苯、甲醛等是世界卫生组织明确的人类致癌物。即使室内所使用的装修材料、制品均满足各自污染物限量控制标准，但室内装饰装修后大量材料制品释放的多种污染物产生的叠加效应，仍可能造成室内空气污染物浓度超标，并危害人体健康。因此，预防和控制室内 VOCs等空气污染，提高建筑室内空气中氨、甲醛、苯、总挥发性有机物、氡等污染物的浓度要求，是高品质室内环境的重要衡量指标。</w:t>
      </w:r>
    </w:p>
    <w:p w14:paraId="227F3D0B">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4.3.2</w:t>
      </w:r>
      <w:r>
        <w:rPr>
          <w:rFonts w:hint="eastAsia" w:asciiTheme="minorEastAsia" w:hAnsiTheme="minorEastAsia" w:eastAsiaTheme="minorEastAsia"/>
          <w:sz w:val="24"/>
          <w:szCs w:val="24"/>
        </w:rPr>
        <w:t>研究表明，吸入的颗粒物粒径越小，进入呼吸道的部位越深，对健康危害越大，并且颗粒物对易感人群（儿童、老人、体弱人群、呼吸系统疾病等人群)的健康危害更严重。粒径在2.5μm~10μm之间的颗粒物，能够进入上呼吸道，部分可通过痰液等排出体外。粒径在2.5μm以下的题粒物(细颗粒物)，会进入支气管和肺泡，干扰肺部的气体交换，引发包括哮喘、支气管炎和心血管病等疾病甚至癌症；细颗粒物附着的 VOCs、SVOCs、重金属等有害物质，可以随细颗粒物通过支气管和肺泡进入血液，对人体健康产生更大危害。</w:t>
      </w:r>
    </w:p>
    <w:p w14:paraId="065589D2">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国内外不同的标准对室内颗粒物浓度要求均有不同，具体如下。结合高品质建筑的特性，制定本标准无机污染物浓度限值。</w:t>
      </w:r>
    </w:p>
    <w:tbl>
      <w:tblPr>
        <w:tblStyle w:val="10"/>
        <w:tblW w:w="48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1530"/>
        <w:gridCol w:w="1397"/>
        <w:gridCol w:w="8"/>
        <w:gridCol w:w="1553"/>
        <w:gridCol w:w="8"/>
        <w:gridCol w:w="1553"/>
        <w:gridCol w:w="10"/>
      </w:tblGrid>
      <w:tr w14:paraId="190E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344" w:type="pct"/>
            <w:shd w:val="clear" w:color="auto" w:fill="auto"/>
            <w:noWrap/>
            <w:vAlign w:val="center"/>
          </w:tcPr>
          <w:p w14:paraId="1A94E0F5">
            <w:pPr>
              <w:jc w:val="center"/>
              <w:rPr>
                <w:rFonts w:hint="eastAsia" w:asciiTheme="minorEastAsia" w:hAnsiTheme="minorEastAsia" w:eastAsiaTheme="minorEastAsia" w:cstheme="minorEastAsia"/>
                <w:szCs w:val="21"/>
              </w:rPr>
            </w:pPr>
          </w:p>
        </w:tc>
        <w:tc>
          <w:tcPr>
            <w:tcW w:w="923" w:type="pct"/>
            <w:shd w:val="clear" w:color="auto" w:fill="auto"/>
            <w:noWrap/>
            <w:vAlign w:val="center"/>
          </w:tcPr>
          <w:p w14:paraId="5C86DC29">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PM2.5</w:t>
            </w:r>
          </w:p>
          <w:p w14:paraId="3CB903D6">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w:t>
            </w:r>
            <w:r>
              <w:rPr>
                <w:rStyle w:val="27"/>
                <w:rFonts w:hint="eastAsia" w:asciiTheme="minorEastAsia" w:hAnsiTheme="minorEastAsia" w:eastAsiaTheme="minorEastAsia" w:cstheme="minorEastAsia"/>
                <w:color w:val="auto"/>
                <w:sz w:val="21"/>
                <w:szCs w:val="21"/>
                <w:lang w:bidi="ar"/>
              </w:rPr>
              <w:t>μ</w:t>
            </w:r>
            <w:r>
              <w:rPr>
                <w:rStyle w:val="28"/>
                <w:rFonts w:hint="default" w:asciiTheme="minorEastAsia" w:hAnsiTheme="minorEastAsia" w:eastAsiaTheme="minorEastAsia" w:cstheme="minorEastAsia"/>
                <w:color w:val="auto"/>
                <w:sz w:val="21"/>
                <w:szCs w:val="21"/>
                <w:lang w:bidi="ar"/>
              </w:rPr>
              <w:t>g/m</w:t>
            </w:r>
            <w:r>
              <w:rPr>
                <w:rStyle w:val="28"/>
                <w:rFonts w:hint="default" w:cs="Calibri" w:asciiTheme="minorEastAsia" w:hAnsiTheme="minorEastAsia" w:eastAsiaTheme="minorEastAsia"/>
                <w:color w:val="auto"/>
                <w:sz w:val="21"/>
                <w:szCs w:val="21"/>
                <w:lang w:bidi="ar"/>
              </w:rPr>
              <w:t>³</w:t>
            </w:r>
            <w:r>
              <w:rPr>
                <w:rFonts w:hint="eastAsia" w:asciiTheme="minorEastAsia" w:hAnsiTheme="minorEastAsia" w:eastAsiaTheme="minorEastAsia" w:cstheme="minorEastAsia"/>
                <w:szCs w:val="21"/>
                <w:lang w:bidi="ar"/>
              </w:rPr>
              <w:t>)</w:t>
            </w:r>
          </w:p>
        </w:tc>
        <w:tc>
          <w:tcPr>
            <w:tcW w:w="848" w:type="pct"/>
            <w:gridSpan w:val="2"/>
            <w:shd w:val="clear" w:color="auto" w:fill="auto"/>
            <w:noWrap/>
            <w:vAlign w:val="center"/>
          </w:tcPr>
          <w:p w14:paraId="20D4F4A6">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PM10</w:t>
            </w:r>
          </w:p>
          <w:p w14:paraId="24BA37DB">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w:t>
            </w:r>
            <w:r>
              <w:rPr>
                <w:rStyle w:val="27"/>
                <w:rFonts w:hint="eastAsia" w:asciiTheme="minorEastAsia" w:hAnsiTheme="minorEastAsia" w:eastAsiaTheme="minorEastAsia" w:cstheme="minorEastAsia"/>
                <w:color w:val="auto"/>
                <w:sz w:val="21"/>
                <w:szCs w:val="21"/>
                <w:lang w:bidi="ar"/>
              </w:rPr>
              <w:t>μ</w:t>
            </w:r>
            <w:r>
              <w:rPr>
                <w:rStyle w:val="28"/>
                <w:rFonts w:hint="default" w:asciiTheme="minorEastAsia" w:hAnsiTheme="minorEastAsia" w:eastAsiaTheme="minorEastAsia" w:cstheme="minorEastAsia"/>
                <w:color w:val="auto"/>
                <w:sz w:val="21"/>
                <w:szCs w:val="21"/>
                <w:lang w:bidi="ar"/>
              </w:rPr>
              <w:t>g/m</w:t>
            </w:r>
            <w:r>
              <w:rPr>
                <w:rStyle w:val="28"/>
                <w:rFonts w:hint="default" w:cs="Calibri" w:asciiTheme="minorEastAsia" w:hAnsiTheme="minorEastAsia" w:eastAsiaTheme="minorEastAsia"/>
                <w:color w:val="auto"/>
                <w:sz w:val="21"/>
                <w:szCs w:val="21"/>
                <w:lang w:bidi="ar"/>
              </w:rPr>
              <w:t>³</w:t>
            </w:r>
            <w:r>
              <w:rPr>
                <w:rFonts w:hint="eastAsia" w:asciiTheme="minorEastAsia" w:hAnsiTheme="minorEastAsia" w:eastAsiaTheme="minorEastAsia" w:cstheme="minorEastAsia"/>
                <w:szCs w:val="21"/>
                <w:lang w:bidi="ar"/>
              </w:rPr>
              <w:t>)</w:t>
            </w:r>
          </w:p>
        </w:tc>
        <w:tc>
          <w:tcPr>
            <w:tcW w:w="942" w:type="pct"/>
            <w:gridSpan w:val="2"/>
            <w:shd w:val="clear" w:color="auto" w:fill="auto"/>
            <w:noWrap/>
            <w:vAlign w:val="center"/>
          </w:tcPr>
          <w:p w14:paraId="16FDA534">
            <w:pPr>
              <w:jc w:val="center"/>
              <w:rPr>
                <w:rFonts w:hint="eastAsia" w:asciiTheme="minorEastAsia" w:hAnsiTheme="minorEastAsia" w:eastAsiaTheme="minorEastAsia" w:cstheme="minorEastAsia"/>
                <w:szCs w:val="21"/>
                <w:vertAlign w:val="subscript"/>
                <w:lang w:bidi="ar"/>
              </w:rPr>
            </w:pPr>
            <w:r>
              <w:rPr>
                <w:rFonts w:hint="eastAsia" w:asciiTheme="minorEastAsia" w:hAnsiTheme="minorEastAsia" w:eastAsiaTheme="minorEastAsia" w:cstheme="minorEastAsia"/>
                <w:szCs w:val="21"/>
                <w:lang w:bidi="ar"/>
              </w:rPr>
              <w:t>CO</w:t>
            </w:r>
            <w:r>
              <w:rPr>
                <w:rFonts w:hint="eastAsia" w:asciiTheme="minorEastAsia" w:hAnsiTheme="minorEastAsia" w:eastAsiaTheme="minorEastAsia" w:cstheme="minorEastAsia"/>
                <w:szCs w:val="21"/>
                <w:vertAlign w:val="subscript"/>
                <w:lang w:bidi="ar"/>
              </w:rPr>
              <w:t>2</w:t>
            </w:r>
          </w:p>
          <w:p w14:paraId="1BB76ACC">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（ppm）</w:t>
            </w:r>
          </w:p>
        </w:tc>
        <w:tc>
          <w:tcPr>
            <w:tcW w:w="942" w:type="pct"/>
            <w:gridSpan w:val="2"/>
            <w:shd w:val="clear" w:color="auto" w:fill="auto"/>
            <w:noWrap/>
            <w:vAlign w:val="center"/>
          </w:tcPr>
          <w:p w14:paraId="6688E2B5">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CO</w:t>
            </w:r>
          </w:p>
          <w:p w14:paraId="2C6E2859">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（mg/m</w:t>
            </w:r>
            <w:r>
              <w:rPr>
                <w:rFonts w:hint="eastAsia" w:asciiTheme="minorEastAsia" w:hAnsiTheme="minorEastAsia" w:eastAsiaTheme="minorEastAsia" w:cstheme="minorEastAsia"/>
                <w:szCs w:val="21"/>
                <w:vertAlign w:val="superscript"/>
                <w:lang w:bidi="ar"/>
              </w:rPr>
              <w:t>3</w:t>
            </w:r>
            <w:r>
              <w:rPr>
                <w:rFonts w:hint="eastAsia" w:asciiTheme="minorEastAsia" w:hAnsiTheme="minorEastAsia" w:eastAsiaTheme="minorEastAsia" w:cstheme="minorEastAsia"/>
                <w:szCs w:val="21"/>
                <w:lang w:bidi="ar"/>
              </w:rPr>
              <w:t>）</w:t>
            </w:r>
          </w:p>
        </w:tc>
      </w:tr>
      <w:tr w14:paraId="6DEA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30" w:hRule="atLeast"/>
        </w:trPr>
        <w:tc>
          <w:tcPr>
            <w:tcW w:w="1344" w:type="pct"/>
            <w:shd w:val="clear" w:color="auto" w:fill="auto"/>
            <w:noWrap/>
            <w:vAlign w:val="center"/>
          </w:tcPr>
          <w:p w14:paraId="6551BAEE">
            <w:pPr>
              <w:jc w:val="center"/>
              <w:rPr>
                <w:rFonts w:hint="eastAsia" w:asciiTheme="minorEastAsia" w:hAnsiTheme="minorEastAsia" w:eastAsiaTheme="minorEastAsia" w:cstheme="minorEastAsia"/>
                <w:szCs w:val="21"/>
              </w:rPr>
            </w:pPr>
          </w:p>
        </w:tc>
        <w:tc>
          <w:tcPr>
            <w:tcW w:w="1763" w:type="pct"/>
            <w:gridSpan w:val="2"/>
            <w:shd w:val="clear" w:color="auto" w:fill="auto"/>
            <w:noWrap/>
            <w:vAlign w:val="center"/>
          </w:tcPr>
          <w:p w14:paraId="0B7D25BD">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年平均</w:t>
            </w:r>
          </w:p>
        </w:tc>
        <w:tc>
          <w:tcPr>
            <w:tcW w:w="942" w:type="pct"/>
            <w:gridSpan w:val="2"/>
            <w:shd w:val="clear" w:color="auto" w:fill="auto"/>
            <w:noWrap/>
            <w:vAlign w:val="center"/>
          </w:tcPr>
          <w:p w14:paraId="5B1D7F01">
            <w:pPr>
              <w:jc w:val="center"/>
              <w:rPr>
                <w:rFonts w:hint="eastAsia" w:asciiTheme="minorEastAsia" w:hAnsiTheme="minorEastAsia" w:eastAsiaTheme="minorEastAsia" w:cstheme="minorEastAsia"/>
                <w:szCs w:val="21"/>
                <w:lang w:bidi="ar"/>
              </w:rPr>
            </w:pPr>
          </w:p>
        </w:tc>
        <w:tc>
          <w:tcPr>
            <w:tcW w:w="942" w:type="pct"/>
            <w:gridSpan w:val="2"/>
            <w:shd w:val="clear" w:color="auto" w:fill="auto"/>
            <w:noWrap/>
            <w:vAlign w:val="center"/>
          </w:tcPr>
          <w:p w14:paraId="159E1DCF">
            <w:pPr>
              <w:jc w:val="center"/>
              <w:rPr>
                <w:rFonts w:hint="eastAsia" w:asciiTheme="minorEastAsia" w:hAnsiTheme="minorEastAsia" w:eastAsiaTheme="minorEastAsia" w:cstheme="minorEastAsia"/>
                <w:szCs w:val="21"/>
                <w:lang w:bidi="ar"/>
              </w:rPr>
            </w:pPr>
            <w:r>
              <w:rPr>
                <w:rStyle w:val="28"/>
                <w:rFonts w:hint="default" w:asciiTheme="minorEastAsia" w:hAnsiTheme="minorEastAsia" w:eastAsiaTheme="minorEastAsia" w:cstheme="minorEastAsia"/>
                <w:color w:val="auto"/>
                <w:sz w:val="21"/>
                <w:szCs w:val="21"/>
                <w:lang w:bidi="ar"/>
              </w:rPr>
              <w:t>1h平均</w:t>
            </w:r>
          </w:p>
        </w:tc>
      </w:tr>
      <w:tr w14:paraId="6B8C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30" w:hRule="atLeast"/>
        </w:trPr>
        <w:tc>
          <w:tcPr>
            <w:tcW w:w="1344" w:type="pct"/>
            <w:shd w:val="clear" w:color="auto" w:fill="auto"/>
            <w:noWrap/>
            <w:vAlign w:val="center"/>
          </w:tcPr>
          <w:p w14:paraId="52F9CC93">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《室内空气质量标准》(GB/T 18883-2022)</w:t>
            </w:r>
          </w:p>
        </w:tc>
        <w:tc>
          <w:tcPr>
            <w:tcW w:w="920" w:type="pct"/>
            <w:shd w:val="clear" w:color="auto" w:fill="auto"/>
            <w:noWrap/>
            <w:vAlign w:val="center"/>
          </w:tcPr>
          <w:p w14:paraId="5429FD17">
            <w:pPr>
              <w:jc w:val="center"/>
              <w:rPr>
                <w:rFonts w:hint="eastAsia" w:asciiTheme="minorEastAsia" w:hAnsiTheme="minorEastAsia" w:eastAsiaTheme="minorEastAsia" w:cstheme="minorEastAsia"/>
                <w:kern w:val="0"/>
                <w:szCs w:val="21"/>
                <w:lang w:bidi="ar"/>
              </w:rPr>
            </w:pPr>
            <w:r>
              <w:rPr>
                <w:rStyle w:val="28"/>
                <w:rFonts w:hint="default" w:asciiTheme="minorEastAsia" w:hAnsiTheme="minorEastAsia" w:eastAsiaTheme="minorEastAsia" w:cstheme="minorEastAsia"/>
                <w:color w:val="auto"/>
                <w:sz w:val="21"/>
                <w:szCs w:val="21"/>
                <w:lang w:bidi="ar"/>
              </w:rPr>
              <w:t>≤50（日均）</w:t>
            </w:r>
          </w:p>
        </w:tc>
        <w:tc>
          <w:tcPr>
            <w:tcW w:w="843" w:type="pct"/>
            <w:shd w:val="clear" w:color="auto" w:fill="auto"/>
            <w:noWrap/>
            <w:vAlign w:val="center"/>
          </w:tcPr>
          <w:p w14:paraId="69DF4574">
            <w:pPr>
              <w:jc w:val="center"/>
              <w:rPr>
                <w:rFonts w:hint="eastAsia" w:asciiTheme="minorEastAsia" w:hAnsiTheme="minorEastAsia" w:eastAsiaTheme="minorEastAsia" w:cstheme="minorEastAsia"/>
                <w:szCs w:val="21"/>
                <w:lang w:bidi="ar"/>
              </w:rPr>
            </w:pPr>
            <w:r>
              <w:rPr>
                <w:rStyle w:val="28"/>
                <w:rFonts w:hint="default" w:asciiTheme="minorEastAsia" w:hAnsiTheme="minorEastAsia" w:eastAsiaTheme="minorEastAsia" w:cstheme="minorEastAsia"/>
                <w:color w:val="auto"/>
                <w:sz w:val="21"/>
                <w:szCs w:val="21"/>
                <w:lang w:bidi="ar"/>
              </w:rPr>
              <w:t>≤100（日均）</w:t>
            </w:r>
          </w:p>
        </w:tc>
        <w:tc>
          <w:tcPr>
            <w:tcW w:w="942" w:type="pct"/>
            <w:gridSpan w:val="2"/>
            <w:shd w:val="clear" w:color="auto" w:fill="auto"/>
            <w:noWrap/>
            <w:vAlign w:val="center"/>
          </w:tcPr>
          <w:p w14:paraId="357854C6">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≤1000</w:t>
            </w:r>
          </w:p>
          <w:p w14:paraId="6458FD67">
            <w:pPr>
              <w:jc w:val="center"/>
              <w:rPr>
                <w:rStyle w:val="28"/>
                <w:rFonts w:hint="default" w:asciiTheme="minorEastAsia" w:hAnsiTheme="minorEastAsia" w:eastAsiaTheme="minorEastAsia" w:cstheme="minorEastAsia"/>
                <w:color w:val="auto"/>
                <w:sz w:val="21"/>
                <w:szCs w:val="21"/>
                <w:lang w:bidi="ar"/>
              </w:rPr>
            </w:pPr>
            <w:r>
              <w:rPr>
                <w:rFonts w:hint="eastAsia" w:asciiTheme="minorEastAsia" w:hAnsiTheme="minorEastAsia" w:eastAsiaTheme="minorEastAsia" w:cstheme="minorEastAsia"/>
                <w:szCs w:val="21"/>
                <w:lang w:bidi="ar"/>
              </w:rPr>
              <w:t>（1小时平均）</w:t>
            </w:r>
          </w:p>
        </w:tc>
        <w:tc>
          <w:tcPr>
            <w:tcW w:w="942" w:type="pct"/>
            <w:gridSpan w:val="2"/>
            <w:shd w:val="clear" w:color="auto" w:fill="auto"/>
            <w:noWrap/>
            <w:vAlign w:val="center"/>
          </w:tcPr>
          <w:p w14:paraId="44FE5194">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≤0.10</w:t>
            </w:r>
          </w:p>
        </w:tc>
      </w:tr>
      <w:tr w14:paraId="3D85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645" w:hRule="atLeast"/>
        </w:trPr>
        <w:tc>
          <w:tcPr>
            <w:tcW w:w="1344" w:type="pct"/>
            <w:shd w:val="clear" w:color="auto" w:fill="auto"/>
            <w:noWrap/>
            <w:vAlign w:val="center"/>
          </w:tcPr>
          <w:p w14:paraId="04BBA2F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《绿色建筑评价标准》(GB/T 50378-2019)</w:t>
            </w:r>
          </w:p>
        </w:tc>
        <w:tc>
          <w:tcPr>
            <w:tcW w:w="920" w:type="pct"/>
            <w:shd w:val="clear" w:color="auto" w:fill="auto"/>
            <w:noWrap/>
            <w:vAlign w:val="center"/>
          </w:tcPr>
          <w:p w14:paraId="2D68BBB9">
            <w:pPr>
              <w:jc w:val="center"/>
              <w:rPr>
                <w:rFonts w:hint="eastAsia" w:asciiTheme="minorEastAsia" w:hAnsiTheme="minorEastAsia" w:eastAsiaTheme="minorEastAsia" w:cstheme="minorEastAsia"/>
                <w:szCs w:val="21"/>
              </w:rPr>
            </w:pPr>
            <w:r>
              <w:rPr>
                <w:rStyle w:val="28"/>
                <w:rFonts w:hint="default" w:asciiTheme="minorEastAsia" w:hAnsiTheme="minorEastAsia" w:eastAsiaTheme="minorEastAsia" w:cstheme="minorEastAsia"/>
                <w:color w:val="auto"/>
                <w:sz w:val="21"/>
                <w:szCs w:val="21"/>
                <w:lang w:bidi="ar"/>
              </w:rPr>
              <w:t>得分项：≤25</w:t>
            </w:r>
          </w:p>
        </w:tc>
        <w:tc>
          <w:tcPr>
            <w:tcW w:w="843" w:type="pct"/>
            <w:shd w:val="clear" w:color="auto" w:fill="auto"/>
            <w:noWrap/>
            <w:vAlign w:val="center"/>
          </w:tcPr>
          <w:p w14:paraId="25F66CB2">
            <w:pPr>
              <w:jc w:val="center"/>
              <w:rPr>
                <w:rFonts w:hint="eastAsia" w:asciiTheme="minorEastAsia" w:hAnsiTheme="minorEastAsia" w:eastAsiaTheme="minorEastAsia" w:cstheme="minorEastAsia"/>
                <w:szCs w:val="21"/>
              </w:rPr>
            </w:pPr>
            <w:r>
              <w:rPr>
                <w:rStyle w:val="28"/>
                <w:rFonts w:hint="default" w:asciiTheme="minorEastAsia" w:hAnsiTheme="minorEastAsia" w:eastAsiaTheme="minorEastAsia" w:cstheme="minorEastAsia"/>
                <w:color w:val="auto"/>
                <w:sz w:val="21"/>
                <w:szCs w:val="21"/>
                <w:lang w:bidi="ar"/>
              </w:rPr>
              <w:t>得分项：≤50</w:t>
            </w:r>
          </w:p>
        </w:tc>
        <w:tc>
          <w:tcPr>
            <w:tcW w:w="942" w:type="pct"/>
            <w:gridSpan w:val="2"/>
            <w:shd w:val="clear" w:color="auto" w:fill="auto"/>
            <w:noWrap/>
            <w:vAlign w:val="center"/>
          </w:tcPr>
          <w:p w14:paraId="79B49CE3">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w:t>
            </w:r>
          </w:p>
        </w:tc>
        <w:tc>
          <w:tcPr>
            <w:tcW w:w="942" w:type="pct"/>
            <w:gridSpan w:val="2"/>
            <w:shd w:val="clear" w:color="auto" w:fill="auto"/>
            <w:noWrap/>
            <w:vAlign w:val="center"/>
          </w:tcPr>
          <w:p w14:paraId="20F3A175">
            <w:pPr>
              <w:jc w:val="center"/>
              <w:rPr>
                <w:rStyle w:val="28"/>
                <w:rFonts w:hint="default" w:asciiTheme="minorEastAsia" w:hAnsiTheme="minorEastAsia" w:eastAsiaTheme="minorEastAsia" w:cstheme="minorEastAsia"/>
                <w:color w:val="auto"/>
                <w:sz w:val="21"/>
                <w:szCs w:val="21"/>
                <w:lang w:bidi="ar"/>
              </w:rPr>
            </w:pPr>
          </w:p>
        </w:tc>
      </w:tr>
      <w:tr w14:paraId="44B7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655" w:hRule="atLeast"/>
        </w:trPr>
        <w:tc>
          <w:tcPr>
            <w:tcW w:w="1344" w:type="pct"/>
            <w:shd w:val="clear" w:color="auto" w:fill="auto"/>
            <w:noWrap/>
            <w:vAlign w:val="center"/>
          </w:tcPr>
          <w:p w14:paraId="53578A54">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《健康建筑评价标准》(T/ASC 02-2021)</w:t>
            </w:r>
          </w:p>
        </w:tc>
        <w:tc>
          <w:tcPr>
            <w:tcW w:w="920" w:type="pct"/>
            <w:shd w:val="clear" w:color="auto" w:fill="auto"/>
            <w:noWrap/>
            <w:vAlign w:val="center"/>
          </w:tcPr>
          <w:p w14:paraId="6062ADC7">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控制项：≤25</w:t>
            </w:r>
          </w:p>
          <w:p w14:paraId="44B18F66">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得分项：≤15</w:t>
            </w:r>
          </w:p>
        </w:tc>
        <w:tc>
          <w:tcPr>
            <w:tcW w:w="843" w:type="pct"/>
            <w:shd w:val="clear" w:color="auto" w:fill="auto"/>
            <w:noWrap/>
            <w:vAlign w:val="center"/>
          </w:tcPr>
          <w:p w14:paraId="6AD7094E">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控制项：≤50</w:t>
            </w:r>
          </w:p>
          <w:p w14:paraId="568CD997">
            <w:pPr>
              <w:jc w:val="center"/>
              <w:rPr>
                <w:rFonts w:hint="eastAsia" w:asciiTheme="minorEastAsia" w:hAnsiTheme="minorEastAsia" w:eastAsiaTheme="minorEastAsia" w:cstheme="minorEastAsia"/>
                <w:szCs w:val="21"/>
              </w:rPr>
            </w:pPr>
            <w:r>
              <w:rPr>
                <w:rStyle w:val="28"/>
                <w:rFonts w:hint="default" w:asciiTheme="minorEastAsia" w:hAnsiTheme="minorEastAsia" w:eastAsiaTheme="minorEastAsia" w:cstheme="minorEastAsia"/>
                <w:color w:val="auto"/>
                <w:sz w:val="21"/>
                <w:szCs w:val="21"/>
                <w:lang w:bidi="ar"/>
              </w:rPr>
              <w:t>得分项：≤30</w:t>
            </w:r>
          </w:p>
        </w:tc>
        <w:tc>
          <w:tcPr>
            <w:tcW w:w="942" w:type="pct"/>
            <w:gridSpan w:val="2"/>
            <w:shd w:val="clear" w:color="auto" w:fill="auto"/>
            <w:noWrap/>
            <w:vAlign w:val="center"/>
          </w:tcPr>
          <w:p w14:paraId="74845131">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w:t>
            </w:r>
          </w:p>
        </w:tc>
        <w:tc>
          <w:tcPr>
            <w:tcW w:w="942" w:type="pct"/>
            <w:gridSpan w:val="2"/>
            <w:shd w:val="clear" w:color="auto" w:fill="auto"/>
            <w:noWrap/>
            <w:vAlign w:val="center"/>
          </w:tcPr>
          <w:p w14:paraId="132BAEC1">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≤35 ppm</w:t>
            </w:r>
          </w:p>
          <w:p w14:paraId="0DDBCF99">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或≤9 ppm (8h平均)</w:t>
            </w:r>
          </w:p>
        </w:tc>
      </w:tr>
      <w:tr w14:paraId="008D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630" w:hRule="atLeast"/>
        </w:trPr>
        <w:tc>
          <w:tcPr>
            <w:tcW w:w="1344" w:type="pct"/>
            <w:shd w:val="clear" w:color="auto" w:fill="auto"/>
            <w:noWrap/>
            <w:vAlign w:val="center"/>
          </w:tcPr>
          <w:p w14:paraId="5CC7A42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vertAlign w:val="superscript"/>
                <w:lang w:bidi="ar"/>
              </w:rPr>
              <w:t>1</w:t>
            </w:r>
            <w:r>
              <w:rPr>
                <w:rFonts w:hint="eastAsia" w:asciiTheme="minorEastAsia" w:hAnsiTheme="minorEastAsia" w:eastAsiaTheme="minorEastAsia" w:cstheme="minorEastAsia"/>
                <w:szCs w:val="21"/>
                <w:lang w:bidi="ar"/>
              </w:rPr>
              <w:t>NAAQS国家环境空气质量标准(《联邦法规》）</w:t>
            </w:r>
          </w:p>
        </w:tc>
        <w:tc>
          <w:tcPr>
            <w:tcW w:w="920" w:type="pct"/>
            <w:shd w:val="clear" w:color="auto" w:fill="auto"/>
            <w:vAlign w:val="center"/>
          </w:tcPr>
          <w:p w14:paraId="71F24F53">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二级：≤15</w:t>
            </w:r>
          </w:p>
          <w:p w14:paraId="77DA2274">
            <w:pPr>
              <w:jc w:val="center"/>
              <w:rPr>
                <w:rFonts w:hint="eastAsia" w:asciiTheme="minorEastAsia" w:hAnsiTheme="minorEastAsia" w:eastAsiaTheme="minorEastAsia" w:cstheme="minorEastAsia"/>
                <w:szCs w:val="21"/>
              </w:rPr>
            </w:pPr>
            <w:r>
              <w:rPr>
                <w:rStyle w:val="28"/>
                <w:rFonts w:hint="default" w:asciiTheme="minorEastAsia" w:hAnsiTheme="minorEastAsia" w:eastAsiaTheme="minorEastAsia" w:cstheme="minorEastAsia"/>
                <w:color w:val="auto"/>
                <w:sz w:val="21"/>
                <w:szCs w:val="21"/>
                <w:lang w:bidi="ar"/>
              </w:rPr>
              <w:t>一级：≤12</w:t>
            </w:r>
          </w:p>
        </w:tc>
        <w:tc>
          <w:tcPr>
            <w:tcW w:w="843" w:type="pct"/>
            <w:shd w:val="clear" w:color="auto" w:fill="auto"/>
            <w:noWrap/>
            <w:vAlign w:val="center"/>
          </w:tcPr>
          <w:p w14:paraId="0668AD5C">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≤150</w:t>
            </w:r>
            <w:r>
              <w:rPr>
                <w:rStyle w:val="28"/>
                <w:rFonts w:hint="default" w:asciiTheme="minorEastAsia" w:hAnsiTheme="minorEastAsia" w:eastAsiaTheme="minorEastAsia" w:cstheme="minorEastAsia"/>
                <w:color w:val="auto"/>
                <w:sz w:val="21"/>
                <w:szCs w:val="21"/>
                <w:lang w:bidi="ar"/>
              </w:rPr>
              <w:t>（日均）</w:t>
            </w:r>
          </w:p>
        </w:tc>
        <w:tc>
          <w:tcPr>
            <w:tcW w:w="942" w:type="pct"/>
            <w:gridSpan w:val="2"/>
            <w:shd w:val="clear" w:color="auto" w:fill="auto"/>
            <w:noWrap/>
            <w:vAlign w:val="center"/>
          </w:tcPr>
          <w:p w14:paraId="78CF6794">
            <w:pPr>
              <w:jc w:val="center"/>
              <w:rPr>
                <w:rFonts w:hint="eastAsia" w:asciiTheme="minorEastAsia" w:hAnsiTheme="minorEastAsia" w:eastAsiaTheme="minorEastAsia" w:cstheme="minorEastAsia"/>
                <w:szCs w:val="21"/>
                <w:lang w:bidi="ar"/>
              </w:rPr>
            </w:pPr>
          </w:p>
        </w:tc>
        <w:tc>
          <w:tcPr>
            <w:tcW w:w="942" w:type="pct"/>
            <w:gridSpan w:val="2"/>
            <w:shd w:val="clear" w:color="auto" w:fill="auto"/>
            <w:noWrap/>
            <w:vAlign w:val="center"/>
          </w:tcPr>
          <w:p w14:paraId="47C58BB5">
            <w:pPr>
              <w:jc w:val="center"/>
              <w:rPr>
                <w:rFonts w:hint="eastAsia"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≤10</w:t>
            </w:r>
          </w:p>
        </w:tc>
      </w:tr>
      <w:tr w14:paraId="401E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463" w:hRule="atLeast"/>
        </w:trPr>
        <w:tc>
          <w:tcPr>
            <w:tcW w:w="1344" w:type="pct"/>
            <w:shd w:val="clear" w:color="auto" w:fill="auto"/>
            <w:noWrap/>
            <w:vAlign w:val="center"/>
          </w:tcPr>
          <w:p w14:paraId="4C4748B0">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WELL健康建筑评价标准</w:t>
            </w:r>
          </w:p>
        </w:tc>
        <w:tc>
          <w:tcPr>
            <w:tcW w:w="920" w:type="pct"/>
            <w:shd w:val="clear" w:color="auto" w:fill="auto"/>
            <w:noWrap/>
            <w:vAlign w:val="center"/>
          </w:tcPr>
          <w:p w14:paraId="65BC5856">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控制项：≤15</w:t>
            </w:r>
          </w:p>
          <w:p w14:paraId="0595BCBA">
            <w:pPr>
              <w:jc w:val="center"/>
              <w:rPr>
                <w:rFonts w:hint="eastAsia" w:asciiTheme="minorEastAsia" w:hAnsiTheme="minorEastAsia" w:eastAsiaTheme="minorEastAsia" w:cstheme="minorEastAsia"/>
                <w:szCs w:val="21"/>
              </w:rPr>
            </w:pPr>
            <w:r>
              <w:rPr>
                <w:rStyle w:val="28"/>
                <w:rFonts w:hint="default" w:asciiTheme="minorEastAsia" w:hAnsiTheme="minorEastAsia" w:eastAsiaTheme="minorEastAsia" w:cstheme="minorEastAsia"/>
                <w:color w:val="auto"/>
                <w:sz w:val="21"/>
                <w:szCs w:val="21"/>
                <w:lang w:bidi="ar"/>
              </w:rPr>
              <w:t>得分项：≤12</w:t>
            </w:r>
          </w:p>
        </w:tc>
        <w:tc>
          <w:tcPr>
            <w:tcW w:w="843" w:type="pct"/>
            <w:shd w:val="clear" w:color="auto" w:fill="auto"/>
            <w:noWrap/>
            <w:vAlign w:val="center"/>
          </w:tcPr>
          <w:p w14:paraId="5C75EB1C">
            <w:pPr>
              <w:jc w:val="center"/>
              <w:rPr>
                <w:rStyle w:val="28"/>
                <w:rFonts w:hint="default" w:asciiTheme="minorEastAsia" w:hAnsiTheme="minorEastAsia" w:eastAsiaTheme="minorEastAsia" w:cstheme="minorEastAsia"/>
                <w:color w:val="auto"/>
                <w:sz w:val="21"/>
                <w:szCs w:val="21"/>
                <w:lang w:bidi="ar"/>
              </w:rPr>
            </w:pPr>
            <w:r>
              <w:rPr>
                <w:rStyle w:val="28"/>
                <w:rFonts w:hint="default" w:asciiTheme="minorEastAsia" w:hAnsiTheme="minorEastAsia" w:eastAsiaTheme="minorEastAsia" w:cstheme="minorEastAsia"/>
                <w:color w:val="auto"/>
                <w:sz w:val="21"/>
                <w:szCs w:val="21"/>
                <w:lang w:bidi="ar"/>
              </w:rPr>
              <w:t>控制项：≤50</w:t>
            </w:r>
          </w:p>
          <w:p w14:paraId="32C96C36">
            <w:pPr>
              <w:jc w:val="center"/>
              <w:rPr>
                <w:rFonts w:hint="eastAsia" w:asciiTheme="minorEastAsia" w:hAnsiTheme="minorEastAsia" w:eastAsiaTheme="minorEastAsia" w:cstheme="minorEastAsia"/>
                <w:szCs w:val="21"/>
              </w:rPr>
            </w:pPr>
            <w:r>
              <w:rPr>
                <w:rStyle w:val="28"/>
                <w:rFonts w:hint="default" w:asciiTheme="minorEastAsia" w:hAnsiTheme="minorEastAsia" w:eastAsiaTheme="minorEastAsia" w:cstheme="minorEastAsia"/>
                <w:color w:val="auto"/>
                <w:sz w:val="21"/>
                <w:szCs w:val="21"/>
                <w:lang w:bidi="ar"/>
              </w:rPr>
              <w:t>得分项：≤30</w:t>
            </w:r>
          </w:p>
        </w:tc>
        <w:tc>
          <w:tcPr>
            <w:tcW w:w="942" w:type="pct"/>
            <w:gridSpan w:val="2"/>
            <w:shd w:val="clear" w:color="auto" w:fill="auto"/>
            <w:noWrap/>
            <w:vAlign w:val="center"/>
          </w:tcPr>
          <w:p w14:paraId="744921B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控制项：900</w:t>
            </w:r>
          </w:p>
          <w:p w14:paraId="349E677B">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得分项：750</w:t>
            </w:r>
          </w:p>
          <w:p w14:paraId="3BF4ADFA">
            <w:pPr>
              <w:jc w:val="center"/>
              <w:rPr>
                <w:rStyle w:val="28"/>
                <w:rFonts w:hint="default" w:asciiTheme="minorEastAsia" w:hAnsiTheme="minorEastAsia" w:eastAsiaTheme="minorEastAsia" w:cstheme="minorEastAsia"/>
                <w:color w:val="auto"/>
                <w:sz w:val="21"/>
                <w:szCs w:val="21"/>
                <w:lang w:bidi="ar"/>
              </w:rPr>
            </w:pPr>
            <w:r>
              <w:rPr>
                <w:rFonts w:hint="eastAsia" w:asciiTheme="minorEastAsia" w:hAnsiTheme="minorEastAsia" w:eastAsiaTheme="minorEastAsia" w:cstheme="minorEastAsia"/>
                <w:szCs w:val="21"/>
              </w:rPr>
              <w:t>（年平均）</w:t>
            </w:r>
          </w:p>
        </w:tc>
        <w:tc>
          <w:tcPr>
            <w:tcW w:w="942" w:type="pct"/>
            <w:gridSpan w:val="2"/>
            <w:shd w:val="clear" w:color="auto" w:fill="auto"/>
            <w:noWrap/>
            <w:vAlign w:val="center"/>
          </w:tcPr>
          <w:p w14:paraId="34C336EC">
            <w:pPr>
              <w:jc w:val="center"/>
              <w:rPr>
                <w:rFonts w:hint="eastAsia" w:asciiTheme="minorEastAsia" w:hAnsiTheme="minorEastAsia" w:eastAsiaTheme="minorEastAsia" w:cstheme="minorEastAsia"/>
                <w:szCs w:val="21"/>
              </w:rPr>
            </w:pPr>
          </w:p>
        </w:tc>
      </w:tr>
    </w:tbl>
    <w:p w14:paraId="79983E36">
      <w:pPr>
        <w:spacing w:before="100" w:beforeAutospacing="1" w:after="100" w:afterAutospacing="1" w:line="312" w:lineRule="auto"/>
        <w:ind w:firstLine="480" w:firstLineChars="200"/>
        <w:rPr>
          <w:rFonts w:asciiTheme="minorEastAsia" w:hAnsiTheme="minorEastAsia" w:eastAsiaTheme="minorEastAsia"/>
          <w:sz w:val="24"/>
          <w:szCs w:val="24"/>
        </w:rPr>
      </w:pPr>
    </w:p>
    <w:p w14:paraId="609787CA">
      <w:pPr>
        <w:spacing w:before="100" w:beforeAutospacing="1" w:after="100" w:afterAutospacing="1" w:line="312" w:lineRule="auto"/>
        <w:ind w:firstLine="480"/>
        <w:rPr>
          <w:rFonts w:asciiTheme="minorEastAsia" w:hAnsiTheme="minorEastAsia" w:eastAsiaTheme="minorEastAsia"/>
          <w:szCs w:val="21"/>
          <w:lang w:bidi="ar"/>
        </w:rPr>
      </w:pPr>
      <w:r>
        <w:rPr>
          <w:rFonts w:asciiTheme="minorEastAsia" w:hAnsiTheme="minorEastAsia" w:eastAsiaTheme="minorEastAsia"/>
          <w:szCs w:val="21"/>
          <w:vertAlign w:val="superscript"/>
        </w:rPr>
        <w:t>1</w:t>
      </w:r>
      <w:r>
        <w:rPr>
          <w:rFonts w:asciiTheme="minorEastAsia" w:hAnsiTheme="minorEastAsia" w:eastAsiaTheme="minorEastAsia"/>
          <w:szCs w:val="21"/>
        </w:rPr>
        <w:t>(美国）</w:t>
      </w:r>
      <w:r>
        <w:rPr>
          <w:rFonts w:asciiTheme="minorEastAsia" w:hAnsiTheme="minorEastAsia" w:eastAsiaTheme="minorEastAsia"/>
          <w:szCs w:val="21"/>
          <w:lang w:bidi="ar"/>
        </w:rPr>
        <w:t>国家环境空气质量标准(《联邦法规》第40卷第50部分)对污染物阈值分为一级与二级指标；</w:t>
      </w:r>
    </w:p>
    <w:p w14:paraId="3041390F">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2024年，广东省全省PM2.5平均浓度为21μg/m³，全省PM10平均浓度为35μg/m³。根据2014~2023年《广东省环境状况公报》，广东省全省PM2.5及PM10均呈现逐年下降趋势。考虑到广东省室外颗粒物浓度实际情况，及室内人员健康问题，鼓励建筑采用新风过滤及室内空气过滤设备，本标准将20μg/m³作为室内PM2.5年均浓度限值，35μg/m³作为室内PM2.5年均浓度限值，同时室内日均浓度较比现行国家标准《室内空气质量标准》GB/T 18883规定限值降低20%。</w:t>
      </w:r>
    </w:p>
    <w:p w14:paraId="5136C4C6">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114300" distR="114300">
            <wp:extent cx="2609850" cy="1565910"/>
            <wp:effectExtent l="0" t="0" r="0" b="15240"/>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27"/>
                    <a:stretch>
                      <a:fillRect/>
                    </a:stretch>
                  </pic:blipFill>
                  <pic:spPr>
                    <a:xfrm>
                      <a:off x="0" y="0"/>
                      <a:ext cx="2609850" cy="1565910"/>
                    </a:xfrm>
                    <a:prstGeom prst="rect">
                      <a:avLst/>
                    </a:prstGeom>
                    <a:noFill/>
                    <a:ln>
                      <a:noFill/>
                    </a:ln>
                  </pic:spPr>
                </pic:pic>
              </a:graphicData>
            </a:graphic>
          </wp:inline>
        </w:drawing>
      </w:r>
      <w:r>
        <w:rPr>
          <w:rFonts w:asciiTheme="minorEastAsia" w:hAnsiTheme="minorEastAsia" w:eastAsiaTheme="minorEastAsia"/>
          <w:sz w:val="24"/>
          <w:szCs w:val="24"/>
        </w:rPr>
        <w:drawing>
          <wp:inline distT="0" distB="0" distL="114300" distR="114300">
            <wp:extent cx="2609850" cy="1567815"/>
            <wp:effectExtent l="0" t="0" r="0" b="13335"/>
            <wp:docPr id="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pic:cNvPicPr>
                      <a:picLocks noChangeAspect="1"/>
                    </pic:cNvPicPr>
                  </pic:nvPicPr>
                  <pic:blipFill>
                    <a:blip r:embed="rId28"/>
                    <a:stretch>
                      <a:fillRect/>
                    </a:stretch>
                  </pic:blipFill>
                  <pic:spPr>
                    <a:xfrm>
                      <a:off x="0" y="0"/>
                      <a:ext cx="2609850" cy="1567815"/>
                    </a:xfrm>
                    <a:prstGeom prst="rect">
                      <a:avLst/>
                    </a:prstGeom>
                    <a:noFill/>
                    <a:ln>
                      <a:noFill/>
                    </a:ln>
                  </pic:spPr>
                </pic:pic>
              </a:graphicData>
            </a:graphic>
          </wp:inline>
        </w:drawing>
      </w:r>
    </w:p>
    <w:p w14:paraId="3D27AEFB">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广东省</w:t>
      </w:r>
      <w:r>
        <w:rPr>
          <w:rFonts w:asciiTheme="minorEastAsia" w:hAnsiTheme="minorEastAsia" w:eastAsiaTheme="minorEastAsia"/>
          <w:szCs w:val="21"/>
        </w:rPr>
        <w:t>2014~2023</w:t>
      </w:r>
      <w:r>
        <w:rPr>
          <w:rFonts w:hint="eastAsia" w:asciiTheme="minorEastAsia" w:hAnsiTheme="minorEastAsia" w:eastAsiaTheme="minorEastAsia"/>
          <w:szCs w:val="21"/>
        </w:rPr>
        <w:t>年度全省室外颗粒物浓度平均值及各市年均浓度范围</w:t>
      </w:r>
    </w:p>
    <w:p w14:paraId="36709EDD">
      <w:pPr>
        <w:spacing w:before="100" w:beforeAutospacing="1" w:after="100" w:afterAutospacing="1" w:line="312" w:lineRule="auto"/>
        <w:rPr>
          <w:rFonts w:asciiTheme="minorEastAsia" w:hAnsiTheme="minorEastAsia" w:eastAsiaTheme="minorEastAsia"/>
          <w:sz w:val="24"/>
          <w:szCs w:val="24"/>
        </w:rPr>
      </w:pPr>
    </w:p>
    <w:p w14:paraId="198B494C">
      <w:pPr>
        <w:spacing w:before="100" w:beforeAutospacing="1" w:after="100" w:afterAutospacing="1" w:line="312"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设计阶段可通过建筑设计因素（门窗渗透风量、新风量、净化设备效率、室内源等〉及室外颗粒物水平（建筑所在地近3年的环境大气监测数据)，结合建筑的运行方式(如:单体净化器夏季与过渡季通常不开启、新风系统仅用于制冷的项目冬季不应考虑新风净化等)，对建筑内部颗粒物浓度进行逐日估算。运行阶段中，需在建筑内加装颗粒物浓度监测传感设备，至少每小时对建筑内颗粒物浓度进行一次读取储存，连续监测一年后取算术平均值，并出具报告。建筑中每种功能类型的房间至少取一间进行颗粒物浓度的全年监测与评价。</w:t>
      </w:r>
    </w:p>
    <w:p w14:paraId="0F87A741">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4.3.3</w:t>
      </w:r>
      <w:r>
        <w:rPr>
          <w:rFonts w:asciiTheme="minorEastAsia" w:hAnsiTheme="minorEastAsia" w:eastAsiaTheme="minorEastAsia"/>
          <w:sz w:val="24"/>
          <w:szCs w:val="24"/>
        </w:rPr>
        <w:t>建筑内存在的有气味、颗粒物、臭氧、挥发性有害污染物、热湿等特殊散发源的热舒功能空间，包括厨房、卫生间、浴室、文印室、地下车库、清洁用品或化学物品储存间等，是室内环境污染的潜在来源。卫生间、浴室等容易产生带气味气体了易滋生霉菌和细菌并存在热湿源，不仅降低建筑使用者的舒适性，而且对人体健康具有一定影响。文印室、清洁及化学存储空间等特殊动能的房间，存在颗粒物、化学污染物扩散的风险，如打印复印设备室是臭氧和颗粒物的来源之地；清洁及化学存储空间可能释放VOCs等化学有害气体；厨房油烟气体及燃烧废气中含有大量的PM2.5和 VOCs。考虑此类空间的特性，高品质建筑需要对此类空间进行隔离，将其对建筑整体室内空气质量的恶劣影响最小化。</w:t>
      </w:r>
      <w:r>
        <w:rPr>
          <w:rFonts w:hint="eastAsia" w:asciiTheme="minorEastAsia" w:hAnsiTheme="minorEastAsia" w:eastAsiaTheme="minorEastAsia"/>
          <w:sz w:val="24"/>
          <w:szCs w:val="24"/>
        </w:rPr>
        <w:t>可采取的措</w:t>
      </w:r>
      <w:r>
        <w:rPr>
          <w:rFonts w:asciiTheme="minorEastAsia" w:hAnsiTheme="minorEastAsia" w:eastAsiaTheme="minorEastAsia"/>
          <w:sz w:val="24"/>
          <w:szCs w:val="24"/>
        </w:rPr>
        <w:t>施如：</w:t>
      </w:r>
    </w:p>
    <w:p w14:paraId="62281665">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 设置可自动关闭的门；</w:t>
      </w:r>
    </w:p>
    <w:p w14:paraId="36EFF9DB">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 设置独立的局部机械排风系统且排风量满足需求，并设置有补风措施；</w:t>
      </w:r>
    </w:p>
    <w:p w14:paraId="2F51263E">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 排风系统入口处设有止回阀，无污染物的倒灌，空气内无异味；</w:t>
      </w:r>
    </w:p>
    <w:p w14:paraId="5734F0A3">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 厨房设置单台设备最大静压600Pa以上或最大风量15m³/min以上的吸油烟机等机械排风设备及补风渠道。</w:t>
      </w:r>
    </w:p>
    <w:p w14:paraId="25008E6F">
      <w:pPr>
        <w:spacing w:before="100" w:beforeAutospacing="1" w:after="100" w:afterAutospacing="1" w:line="312" w:lineRule="auto"/>
        <w:ind w:firstLine="480" w:firstLineChars="200"/>
        <w:rPr>
          <w:rFonts w:asciiTheme="minorEastAsia" w:hAnsiTheme="minorEastAsia" w:eastAsiaTheme="minorEastAsia"/>
          <w:sz w:val="24"/>
          <w:szCs w:val="24"/>
        </w:rPr>
      </w:pPr>
    </w:p>
    <w:p w14:paraId="2164FD69">
      <w:pPr>
        <w:spacing w:before="100" w:beforeAutospacing="1" w:after="100" w:afterAutospacing="1" w:line="312" w:lineRule="auto"/>
        <w:ind w:firstLine="482" w:firstLineChars="200"/>
        <w:jc w:val="center"/>
        <w:outlineLvl w:val="1"/>
        <w:rPr>
          <w:rFonts w:asciiTheme="minorEastAsia" w:hAnsiTheme="minorEastAsia" w:eastAsiaTheme="minorEastAsia"/>
          <w:sz w:val="24"/>
          <w:szCs w:val="24"/>
        </w:rPr>
      </w:pPr>
      <w:bookmarkStart w:id="364" w:name="_Toc24067"/>
      <w:bookmarkStart w:id="365" w:name="_Toc29439"/>
      <w:bookmarkStart w:id="366" w:name="_Toc22001"/>
      <w:r>
        <w:rPr>
          <w:rFonts w:asciiTheme="minorEastAsia" w:hAnsiTheme="minorEastAsia" w:eastAsiaTheme="minorEastAsia"/>
          <w:b/>
          <w:bCs/>
          <w:sz w:val="24"/>
          <w:szCs w:val="24"/>
        </w:rPr>
        <w:t>4.4 生物环境</w:t>
      </w:r>
      <w:bookmarkEnd w:id="364"/>
      <w:bookmarkEnd w:id="365"/>
      <w:bookmarkEnd w:id="366"/>
    </w:p>
    <w:p w14:paraId="3A5A6AC1">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4.4.1</w:t>
      </w:r>
      <w:r>
        <w:rPr>
          <w:rFonts w:hint="eastAsia" w:asciiTheme="minorEastAsia" w:hAnsiTheme="minorEastAsia" w:eastAsiaTheme="minorEastAsia"/>
          <w:sz w:val="24"/>
          <w:szCs w:val="24"/>
        </w:rPr>
        <w:t>长期接触和吸入霉菌，可引起呼吸道疾病和过敏症状等，例如支气管炎、扁桃体炎、花粉热、哮喘病等；免疫力低的人还可能因此引起头疼、发热、皮肤或黏膜发炎等。 因此，应控制室内湿度，避免潮湿墙面以及厨房、卫生间、阳台、窗边、水池、空调系统等场所生长霉菌。</w:t>
      </w:r>
    </w:p>
    <w:p w14:paraId="39BE3E23">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4.4.2</w:t>
      </w:r>
      <w:r>
        <w:rPr>
          <w:rFonts w:hint="eastAsia" w:asciiTheme="minorEastAsia" w:hAnsiTheme="minorEastAsia" w:eastAsiaTheme="minorEastAsia"/>
          <w:sz w:val="24"/>
          <w:szCs w:val="24"/>
        </w:rPr>
        <w:t>老鼠、蟑螂、等动物易携带致病微生物，导致室内人员感染。例如，老鼠能携带细菌、病毒、立克氏体、寄生虫等200余种病原体，其中能使人致病的有57种，对人类危害大的有：鼠疫、流行性出血热、钩端螺旋体病、恙虫病等。因此，应当采取积极的防治措施，避免室内出现有害动物。例如，不让食物敞放过夜招引鼠患，安装纱门纱窗等设施避免蚊虫飞入。集中空调通风系统的送风口宜设防鼠装置；回风口应设置防鼠装置或回风过滤网；新风口应设置耐腐蚀的防护（防虫）网。防鼠装置的孔径或缝隙不应大于6 mm。</w:t>
      </w:r>
    </w:p>
    <w:p w14:paraId="52629E41">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4.4.3</w:t>
      </w:r>
      <w:r>
        <w:rPr>
          <w:rFonts w:hint="eastAsia" w:asciiTheme="minorEastAsia" w:hAnsiTheme="minorEastAsia" w:eastAsiaTheme="minorEastAsia"/>
          <w:sz w:val="24"/>
          <w:szCs w:val="24"/>
        </w:rPr>
        <w:t>在室内种植植物能够起到装饰、美化空间的作用，也能增加室内湿度与氧气含量。不过，需选择适当植物种类，避免引起人体不适或疾病。例如，驱蚊草、除虫菊等都有驱虫的效果。而薄荷、柠檬、紫茉莉等植物所散发出的香气还可以抑制或杀灭病菌，而丁香、夜来香等部分耗氧性植物在夜间会散播强烈刺激嗅觉的微粒，使高血压和心脏病患者感到憋闷。</w:t>
      </w:r>
    </w:p>
    <w:p w14:paraId="2C5DFFC7">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4.4.4</w:t>
      </w:r>
      <w:r>
        <w:rPr>
          <w:rFonts w:hint="eastAsia" w:asciiTheme="minorEastAsia" w:hAnsiTheme="minorEastAsia" w:eastAsiaTheme="minorEastAsia"/>
          <w:sz w:val="24"/>
          <w:szCs w:val="24"/>
        </w:rPr>
        <w:t>军团菌也称为“退役军人杆菌”，第一次被发现是1976年，这一年在美国费城召开了一次退伍军人大会，期间突然爆发流行了一种不明原因的肺炎，后来从死者肺组织中分离出一种新的革兰氏阴性杆菌，遂命名为军团菌。军团菌是一种水源微生物，当水温在31℃～36℃，水中又含有丰富的有机物时，军团菌可长期存活。空调冷却塔是军团菌病的主要传染源之一，每年夏季吹着凉凉的空调便是军团菌肺炎的高发季节。</w:t>
      </w:r>
    </w:p>
    <w:p w14:paraId="2D2A38C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根据现行《公共场所集中空调通风系统卫生规范》</w:t>
      </w:r>
      <w:r>
        <w:rPr>
          <w:rFonts w:asciiTheme="minorEastAsia" w:hAnsiTheme="minorEastAsia" w:eastAsiaTheme="minorEastAsia"/>
          <w:sz w:val="24"/>
          <w:szCs w:val="24"/>
        </w:rPr>
        <w:t>WS 10013</w:t>
      </w:r>
      <w:r>
        <w:rPr>
          <w:rFonts w:hint="eastAsia" w:asciiTheme="minorEastAsia" w:hAnsiTheme="minorEastAsia" w:eastAsiaTheme="minorEastAsia"/>
          <w:sz w:val="24"/>
          <w:szCs w:val="24"/>
        </w:rPr>
        <w:t>-2023，冷却水、冷凝水、喷雾或冷水蒸发加湿方式用水中不应检出嗜肺军团菌，冷却水水质、送风质量、风管内表面卫生质量应符合下表要求：</w:t>
      </w:r>
    </w:p>
    <w:p w14:paraId="47D20390">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冷却水水质指标及要求</w:t>
      </w:r>
    </w:p>
    <w:p w14:paraId="5EDF8526">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rPr>
        <w:drawing>
          <wp:inline distT="0" distB="0" distL="0" distR="0">
            <wp:extent cx="4772025" cy="622935"/>
            <wp:effectExtent l="0" t="0" r="9525" b="5715"/>
            <wp:docPr id="1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表格&#10;&#10;描述已自动生成"/>
                    <pic:cNvPicPr>
                      <a:picLocks noChangeAspect="1"/>
                    </pic:cNvPicPr>
                  </pic:nvPicPr>
                  <pic:blipFill>
                    <a:blip r:embed="rId29"/>
                    <a:stretch>
                      <a:fillRect/>
                    </a:stretch>
                  </pic:blipFill>
                  <pic:spPr>
                    <a:xfrm>
                      <a:off x="0" y="0"/>
                      <a:ext cx="4820715" cy="629722"/>
                    </a:xfrm>
                    <a:prstGeom prst="rect">
                      <a:avLst/>
                    </a:prstGeom>
                  </pic:spPr>
                </pic:pic>
              </a:graphicData>
            </a:graphic>
          </wp:inline>
        </w:drawing>
      </w:r>
    </w:p>
    <w:p w14:paraId="4003FAD7">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送风质量指标及要求</w:t>
      </w:r>
    </w:p>
    <w:p w14:paraId="73BAE37E">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rPr>
        <w:drawing>
          <wp:inline distT="0" distB="0" distL="0" distR="0">
            <wp:extent cx="4752975" cy="920115"/>
            <wp:effectExtent l="0" t="0" r="9525" b="13335"/>
            <wp:docPr id="1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表格&#10;&#10;描述已自动生成"/>
                    <pic:cNvPicPr>
                      <a:picLocks noChangeAspect="1"/>
                    </pic:cNvPicPr>
                  </pic:nvPicPr>
                  <pic:blipFill>
                    <a:blip r:embed="rId30"/>
                    <a:stretch>
                      <a:fillRect/>
                    </a:stretch>
                  </pic:blipFill>
                  <pic:spPr>
                    <a:xfrm>
                      <a:off x="0" y="0"/>
                      <a:ext cx="4784862" cy="926325"/>
                    </a:xfrm>
                    <a:prstGeom prst="rect">
                      <a:avLst/>
                    </a:prstGeom>
                  </pic:spPr>
                </pic:pic>
              </a:graphicData>
            </a:graphic>
          </wp:inline>
        </w:drawing>
      </w:r>
    </w:p>
    <w:p w14:paraId="63B64D5C">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风管内表面卫生指标及要求</w:t>
      </w:r>
    </w:p>
    <w:p w14:paraId="63C2B489">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rPr>
        <w:drawing>
          <wp:inline distT="0" distB="0" distL="0" distR="0">
            <wp:extent cx="4810125" cy="574040"/>
            <wp:effectExtent l="0" t="0" r="9525"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1"/>
                    <a:stretch>
                      <a:fillRect/>
                    </a:stretch>
                  </pic:blipFill>
                  <pic:spPr>
                    <a:xfrm>
                      <a:off x="0" y="0"/>
                      <a:ext cx="4846508" cy="578827"/>
                    </a:xfrm>
                    <a:prstGeom prst="rect">
                      <a:avLst/>
                    </a:prstGeom>
                  </pic:spPr>
                </pic:pic>
              </a:graphicData>
            </a:graphic>
          </wp:inline>
        </w:drawing>
      </w:r>
    </w:p>
    <w:p w14:paraId="3F94DE1C">
      <w:pPr>
        <w:spacing w:before="100" w:beforeAutospacing="1" w:after="100" w:afterAutospacing="1" w:line="312"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因此，应采取措施控制集中空调通风系统军团菌的繁殖，措施如：集中空调通风系统加湿方式宜选用蒸汽加湿，选用自来水喷雾或冷水蒸发的加湿方式应有控制军团菌繁殖的措施；冷却水系统宜设置持续消毒、加药装置；集中空调通风系统风管内表面应光滑，易于清理；冷凝水管道应采取防凝露措施；定期清洗和维护空调系统，防止军团菌滋生在冷却塔或空气处理设备中；确保空气过滤器的清洁和更换；定期检查和清洁建筑物的水系统，包括水槽、淋浴器、冷却塔等。确保热水供应温度高于55°C，以抑制军团菌的生长。</w:t>
      </w:r>
    </w:p>
    <w:p w14:paraId="4D19B90E">
      <w:pPr>
        <w:spacing w:before="100" w:beforeAutospacing="1" w:after="100" w:afterAutospacing="1" w:line="312" w:lineRule="auto"/>
        <w:jc w:val="left"/>
        <w:rPr>
          <w:rFonts w:asciiTheme="minorEastAsia" w:hAnsiTheme="minorEastAsia" w:eastAsiaTheme="minorEastAsia"/>
          <w:sz w:val="24"/>
          <w:szCs w:val="24"/>
        </w:rPr>
      </w:pPr>
    </w:p>
    <w:p w14:paraId="6EDD229A">
      <w:pPr>
        <w:spacing w:before="100" w:beforeAutospacing="1" w:after="100" w:afterAutospacing="1" w:line="312" w:lineRule="auto"/>
        <w:jc w:val="left"/>
        <w:rPr>
          <w:rFonts w:asciiTheme="minorEastAsia" w:hAnsiTheme="minorEastAsia" w:eastAsiaTheme="minorEastAsia"/>
          <w:sz w:val="24"/>
          <w:szCs w:val="24"/>
        </w:rPr>
      </w:pPr>
    </w:p>
    <w:p w14:paraId="348569F4">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b/>
          <w:bCs/>
          <w:sz w:val="24"/>
          <w:szCs w:val="24"/>
        </w:rPr>
        <w:t>4.5 精神环境</w:t>
      </w:r>
    </w:p>
    <w:p w14:paraId="7D3E80CA">
      <w:pPr>
        <w:spacing w:before="100" w:beforeAutospacing="1" w:after="100" w:afterAutospacing="1" w:line="312"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人们有90%的时间是在室内度过的，室内环境对人体健康的影响非常深远，不仅是身体健康，还包括精神健康。健康的室内建筑环境能为住户提供有助于身心健康的空间场所，为人们带来良好的情绪、优质的睡眠、舒适的体验、卓越的工作效率和敏锐的创造力。虽然精神和身体健康通常被概念化为独立的领域，但我们的思想和身体却有着千丝万缕的联系。例如，运动会增加血清素的释放，从而提高情绪并调节睡眠周期。另一方面，简单的担忧行为可能会引发类似于身体压力和伤害的生理反应。由于精神对个人的整体健康起着至关重要的作用，因此支持健康精神状态的氛围可以带来显着的心理和身体益处。</w:t>
      </w:r>
    </w:p>
    <w:p w14:paraId="61DFCCB4">
      <w:pPr>
        <w:spacing w:before="100" w:beforeAutospacing="1" w:after="100" w:afterAutospacing="1" w:line="312" w:lineRule="auto"/>
        <w:jc w:val="left"/>
        <w:rPr>
          <w:rFonts w:asciiTheme="minorEastAsia" w:hAnsiTheme="minorEastAsia" w:eastAsiaTheme="minorEastAsia"/>
          <w:sz w:val="24"/>
          <w:szCs w:val="24"/>
        </w:rPr>
      </w:pPr>
    </w:p>
    <w:p w14:paraId="61BCF107">
      <w:pPr>
        <w:spacing w:before="100" w:beforeAutospacing="1" w:after="100" w:afterAutospacing="1" w:line="312" w:lineRule="auto"/>
        <w:jc w:val="center"/>
        <w:rPr>
          <w:rFonts w:asciiTheme="minorEastAsia" w:hAnsiTheme="minorEastAsia" w:eastAsiaTheme="minorEastAsia"/>
          <w:b/>
          <w:bCs/>
          <w:sz w:val="24"/>
          <w:szCs w:val="24"/>
        </w:rPr>
      </w:pPr>
      <w:r>
        <w:rPr>
          <w:rFonts w:asciiTheme="minorEastAsia" w:hAnsiTheme="minorEastAsia" w:eastAsiaTheme="minorEastAsia"/>
          <w:b/>
          <w:bCs/>
          <w:sz w:val="24"/>
          <w:szCs w:val="24"/>
        </w:rPr>
        <w:t>Ⅰ 情感环境</w:t>
      </w:r>
    </w:p>
    <w:p w14:paraId="28777901">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4.5.1</w:t>
      </w:r>
      <w:r>
        <w:rPr>
          <w:rFonts w:hint="eastAsia" w:asciiTheme="minorEastAsia" w:hAnsiTheme="minorEastAsia" w:eastAsiaTheme="minorEastAsia"/>
          <w:sz w:val="24"/>
          <w:szCs w:val="24"/>
        </w:rPr>
        <w:t>该条文强调了建筑室内空间设计的几个关键方面：空间尺度、比例关系、形态特征、人行流线的合理组织以及空间导向的明确性。具体而言，设计师应根据使用功能和人体工程学原理，合理安排室内空间的大小和布局，使空间的比例和形态既符合美学要求，又具有舒适的使用感受。同时，应注重人行流线的设计，确保不同功能区域的连接合理顺畅，避免空间拥挤或不便通行。空间导向明确、具备方向感的设计，有助于使用者在建筑内部找到目标区域，减少迷失的可能性。整体而言，这一条文的目的是提升室内空间的功能性、舒适性以及便捷性，确保使用者能够在空间中得到良好的体验。</w:t>
      </w:r>
    </w:p>
    <w:p w14:paraId="0A69DE94">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结合室内功能进行空间尺度的设计，传递优质的空间氛围，提高心理愉悦度。</w:t>
      </w:r>
    </w:p>
    <w:p w14:paraId="1A8C849F">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空间尺度要保障人的行为感知与空间感受相匹配。空间尺度涵盖出入口尺度、交通尺度、设施尺度等，适当的空间尺度会增强人对空间的亲疏感受体验。室内空间尺度设计需科学衡量并传递优质的空间氛围，提高心理愉悦度。</w:t>
      </w:r>
    </w:p>
    <w:p w14:paraId="1BC88BB9">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同样一个空间，构成的形式不同，其产生的空间效果也截然不同。在空间比较低矮时，室内多采用纵向的线条来装饰，这样会使空间有增高感；而水平的线形则给人以平静、安详、松弛的感觉。</w:t>
      </w:r>
    </w:p>
    <w:p w14:paraId="77A50861">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空间形态的设计需结合空间构成、气氛营造、材料应用等方面，通过技术与材料、文化与情感的交融</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营造以人为本的</w:t>
      </w:r>
      <w:r>
        <w:rPr>
          <w:rFonts w:asciiTheme="minorEastAsia" w:hAnsiTheme="minorEastAsia" w:eastAsiaTheme="minorEastAsia"/>
          <w:sz w:val="24"/>
          <w:szCs w:val="24"/>
        </w:rPr>
        <w:t>"</w:t>
      </w:r>
      <w:r>
        <w:rPr>
          <w:rFonts w:hint="eastAsia" w:asciiTheme="minorEastAsia" w:hAnsiTheme="minorEastAsia" w:eastAsiaTheme="minorEastAsia"/>
          <w:sz w:val="24"/>
          <w:szCs w:val="24"/>
        </w:rPr>
        <w:t>亲和力</w:t>
      </w:r>
      <w:r>
        <w:rPr>
          <w:rFonts w:asciiTheme="minorEastAsia" w:hAnsiTheme="minorEastAsia" w:eastAsiaTheme="minorEastAsia"/>
          <w:sz w:val="24"/>
          <w:szCs w:val="24"/>
        </w:rPr>
        <w:t>"</w:t>
      </w:r>
      <w:r>
        <w:rPr>
          <w:rFonts w:hint="eastAsia" w:asciiTheme="minorEastAsia" w:hAnsiTheme="minorEastAsia" w:eastAsiaTheme="minorEastAsia"/>
          <w:sz w:val="24"/>
          <w:szCs w:val="24"/>
        </w:rPr>
        <w:t>。不同形态给人不同的情感体验，如封闭空间带来安全感，开敞空间带来自由感。空间形态的选择应符合使用者需求，提供便利和高效的使用体验。</w:t>
      </w:r>
    </w:p>
    <w:p w14:paraId="113F58B8">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天花板高度与房间尺寸成正比，可增加空间宽敞性、舒适性及开放性。室内空间的尺度应结合其功能进行设计，确保空间符合人体工程学和心理感知。例如，居住空间应避免过大，以保持温馨和亲切感；而公共空间则应有适当的宏大尺度，避免过于压抑。方、圆、六角等严谨规范的几何形态空间，可给人以端庄、平稳、肃穆的气氛；不规则的空间形态给人随意、自然、活跃的感受；封闭的空间给人以隔世、宁静和安全感；开敞的空间给人以流通、开朗、自由的感觉等。</w:t>
      </w:r>
      <w:r>
        <w:rPr>
          <w:rFonts w:hint="eastAsia" w:asciiTheme="minorEastAsia" w:hAnsiTheme="minorEastAsia" w:eastAsiaTheme="minorEastAsia" w:cstheme="minorEastAsia"/>
          <w:sz w:val="24"/>
          <w:szCs w:val="24"/>
          <w:vertAlign w:val="superscript"/>
        </w:rPr>
        <w:t>[</w:t>
      </w:r>
      <w:r>
        <w:rPr>
          <w:rStyle w:val="16"/>
          <w:rFonts w:hint="eastAsia" w:asciiTheme="minorEastAsia" w:hAnsiTheme="minorEastAsia" w:eastAsiaTheme="minorEastAsia" w:cstheme="minorEastAsia"/>
          <w:sz w:val="24"/>
          <w:szCs w:val="24"/>
        </w:rPr>
        <w:footnoteReference w:id="0"/>
      </w:r>
      <w:r>
        <w:rPr>
          <w:rFonts w:hint="eastAsia" w:asciiTheme="minorEastAsia" w:hAnsiTheme="minorEastAsia" w:eastAsiaTheme="minorEastAsia" w:cstheme="minorEastAsia"/>
          <w:sz w:val="24"/>
          <w:szCs w:val="24"/>
          <w:vertAlign w:val="superscript"/>
        </w:rPr>
        <w:t>]</w:t>
      </w:r>
    </w:p>
    <w:p w14:paraId="463B387A">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此外，使用者在室内环境中是处于不断运动的状态，对于环境的了解也不是在静止状态下所完成的。所以设计师还应该按照形式美感的规律来进行空间序列的组织，使空间序列的布置具有美学上的些特征，有助于室内环境中形式与内容的统一。</w:t>
      </w:r>
    </w:p>
    <w:p w14:paraId="68F26B8C">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sz w:val="24"/>
          <w:szCs w:val="24"/>
        </w:rPr>
        <w:t xml:space="preserve">3 </w:t>
      </w:r>
      <w:r>
        <w:rPr>
          <w:rFonts w:hint="eastAsia" w:asciiTheme="minorEastAsia" w:hAnsiTheme="minorEastAsia" w:eastAsiaTheme="minorEastAsia"/>
          <w:sz w:val="24"/>
          <w:szCs w:val="24"/>
        </w:rPr>
        <w:t>不同功能空间中应根据不同人群的活动性质、人群行为习惯、建筑内部布局及造型设计进行标识系统的建立及动线设计，保证易达性、舒适性、连续性和引导性。</w:t>
      </w:r>
    </w:p>
    <w:p w14:paraId="3714C1C9">
      <w:pPr>
        <w:spacing w:before="100" w:beforeAutospacing="1" w:after="100" w:afterAutospacing="1" w:line="312" w:lineRule="auto"/>
        <w:ind w:firstLine="480" w:firstLineChars="200"/>
        <w:rPr>
          <w:rFonts w:asciiTheme="minorEastAsia" w:hAnsiTheme="minorEastAsia" w:eastAsiaTheme="minorEastAsia"/>
          <w:b/>
          <w:bCs/>
          <w:sz w:val="24"/>
          <w:szCs w:val="24"/>
        </w:rPr>
      </w:pPr>
      <w:r>
        <w:rPr>
          <w:rFonts w:hint="eastAsia" w:asciiTheme="minorEastAsia" w:hAnsiTheme="minorEastAsia" w:eastAsiaTheme="minorEastAsia"/>
          <w:sz w:val="24"/>
          <w:szCs w:val="24"/>
        </w:rPr>
        <w:t>在不同功能空间中，设计应结合使用者的行为习惯、活动性质以及空间布局来合理规划人行流线。流线的设计需确保空间的易达性、舒适性、连续性和引导性。特别是在复杂的公共空间或商业环境中，流线设计能够有效引导人流，避免拥堵并提高空间的利用率。标识系统的设计同样重要，能够帮助使用者在空间内获得清晰的方向感，避免迷失。动线设计还需考虑到安全因素，尤其是在紧急情况下，能够迅速引导使用者有效撤离。在商业中心或博物馆中，应采用合理的流线组织，如环形流线或串联式流线，使人流畅通无阻，并有效控制人流密度，避免拥挤。</w:t>
      </w:r>
    </w:p>
    <w:p w14:paraId="325B1363">
      <w:pPr>
        <w:widowControl/>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4.5.2</w:t>
      </w:r>
      <w:r>
        <w:rPr>
          <w:rFonts w:hint="eastAsia" w:asciiTheme="minorEastAsia" w:hAnsiTheme="minorEastAsia" w:eastAsiaTheme="minorEastAsia"/>
          <w:sz w:val="24"/>
          <w:szCs w:val="24"/>
        </w:rPr>
        <w:t>一个美丽而有意义的空间，其中明确考虑设计美学可以给使用者的情绪产生积极的影响，提供视觉复杂性、平衡和比例的元素可以给人一种舒适、轻松的感觉，并有可能减轻压力。这一功能实现了最佳实践指南、房间比例、艺术品和干预措施的整合，增强了熟悉度，创造了一个视觉上吸引人的空间。将美观的元素融入到空间中可以帮助建筑居住者从周围环境中获得一定程度的舒适或愉悦，将设计元素和艺术品融入空间可以创造一个平静的环境，从而改善居住者的情绪，致力于构建精心设计的环境，对居住者的情绪和舒适度产生积极影响。</w:t>
      </w:r>
    </w:p>
    <w:p w14:paraId="6B038EDC">
      <w:pPr>
        <w:widowControl/>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空间压迫感通常是指由于空间过于狭小、布局不合理、照明不足或过度拥挤等原因，导致使用者产生的不适感。为了避免此类情况，设计师应通过合理的空间布局、选用合适的家具尺寸、运用合理的色彩搭配和灯光设计来扩展空间感，减少视觉上的局促感。例如，可以通过开放式布局、利用自然光以及选择轻盈的家具设计来增强空间的流动性和通透感。</w:t>
      </w:r>
    </w:p>
    <w:p w14:paraId="6950FF93">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4.5.3</w:t>
      </w:r>
      <w:r>
        <w:rPr>
          <w:rFonts w:hint="eastAsia" w:asciiTheme="minorEastAsia" w:hAnsiTheme="minorEastAsia" w:eastAsiaTheme="minorEastAsia"/>
          <w:sz w:val="24"/>
          <w:szCs w:val="24"/>
        </w:rPr>
        <w:t>该条文强调了室内空间设计不仅要考虑美学因素，还需结合实际功能需求，确保空间设计与使用功能的协调性与实用性。例如，办公空间可能偏向简约、整洁，营造高效、专业的氛围；而居住空间则可选择温暖、舒适的设计风格，以提高居住者的舒适度和放松感。</w:t>
      </w:r>
    </w:p>
    <w:p w14:paraId="63699D91">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艺术品在室内空间中的配置应与空间的功能和整体氛围相匹配，同时考虑使用者的需求和空间的实际情况。例如，建议将艺术品融合于以下室内空间中：入口、大堂及大于28平方米的常用空间, 增加视野的复杂性。此外，艺术品的摆放位置、数量与大小应合理，避免过于拥挤或不合适的布置影响空间的功能性。</w:t>
      </w:r>
    </w:p>
    <w:p w14:paraId="65CEA47B">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空间干预措施指的是通过设计手段对空间进行调整和优化，以提高空间的功能性与美学效果。例如，通过隔断、墙面装饰、家具布局等手段来调整空间的使用功能。</w:t>
      </w:r>
    </w:p>
    <w:p w14:paraId="4388F699">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4.5.4</w:t>
      </w:r>
      <w:r>
        <w:rPr>
          <w:rFonts w:hint="eastAsia" w:asciiTheme="minorEastAsia" w:hAnsiTheme="minorEastAsia" w:eastAsiaTheme="minorEastAsia"/>
          <w:sz w:val="24"/>
          <w:szCs w:val="24"/>
        </w:rPr>
        <w:t>随着现代生活和工作环境对人体身心健康的重视，建筑室内设计引入自然元素成为提升环境质量的重要手段。植物、水景、日光等自然元素不仅能够提升空间美感，还能减轻压力、提升注意力、增强情绪健康等。</w:t>
      </w:r>
    </w:p>
    <w:p w14:paraId="78692558">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建筑室内应引入适当的自然元素的实现途径可包括如下：</w:t>
      </w:r>
    </w:p>
    <w:p w14:paraId="74CA9208">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 室内自然元素设计</w:t>
      </w:r>
    </w:p>
    <w:p w14:paraId="1A5140DC">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在公共区域（如走廊、会议室等）融入天然材料、植物和水景，确保大部分工作站和座位可以看到这些自然元素。</w:t>
      </w:r>
    </w:p>
    <w:p w14:paraId="3A31E674">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长期使用房间（如客房）配有至少一株植物。</w:t>
      </w:r>
    </w:p>
    <w:p w14:paraId="2762C244">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楼梯和常用通道应包括艺术品、音乐、自然采光等元素，增加空间吸引力。</w:t>
      </w:r>
    </w:p>
    <w:p w14:paraId="12C3612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 户外绿化空间</w:t>
      </w:r>
    </w:p>
    <w:p w14:paraId="6C73D735">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场地内设置景观花园或屋顶花园。</w:t>
      </w:r>
    </w:p>
    <w:p w14:paraId="3314009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户外空间需具备多种植被，并可供社交或娱乐活动使用，具备四季景观。</w:t>
      </w:r>
    </w:p>
    <w:p w14:paraId="21688AB0">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 自然通道：户外空间廊道上方设置植物或自然元素。</w:t>
      </w:r>
    </w:p>
    <w:p w14:paraId="429D3AE2">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 水景和恢复空间：室外设置水景，并具备水质管理技术。</w:t>
      </w:r>
    </w:p>
    <w:p w14:paraId="24E8CBB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提供可供休闲恢复的空间，设计时应融入自然元素和舒适的环境条件。</w:t>
      </w:r>
    </w:p>
    <w:p w14:paraId="11DCF11F">
      <w:pPr>
        <w:spacing w:before="100" w:beforeAutospacing="1" w:after="100" w:afterAutospacing="1" w:line="312" w:lineRule="auto"/>
        <w:ind w:firstLine="480" w:firstLineChars="200"/>
        <w:rPr>
          <w:rFonts w:asciiTheme="minorEastAsia" w:hAnsiTheme="minorEastAsia" w:eastAsiaTheme="minorEastAsia"/>
          <w:sz w:val="24"/>
          <w:szCs w:val="24"/>
        </w:rPr>
      </w:pPr>
    </w:p>
    <w:p w14:paraId="641AF578">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b/>
          <w:bCs/>
          <w:sz w:val="24"/>
          <w:szCs w:val="24"/>
        </w:rPr>
        <w:t>Ⅱ 人文精神</w:t>
      </w:r>
    </w:p>
    <w:p w14:paraId="7947FA2C">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 xml:space="preserve">4.5.5 </w:t>
      </w:r>
      <w:r>
        <w:rPr>
          <w:rFonts w:hint="eastAsia" w:asciiTheme="minorEastAsia" w:hAnsiTheme="minorEastAsia" w:eastAsiaTheme="minorEastAsia"/>
          <w:sz w:val="24"/>
          <w:szCs w:val="24"/>
        </w:rPr>
        <w:t>室内设计应追求内外和谐与整体协调，同时与地区气候、民俗等相呼应。</w:t>
      </w:r>
    </w:p>
    <w:p w14:paraId="5955544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地域文化的融入可通过符号化传统元素、地域性材料、空间色彩设计及陈设艺术品等方式实现。地域文化在室内设计中的作用包括提高文化视觉效果、唤醒历史记忆、增强归属感、丰富情感体验及促进文化创新与传承</w:t>
      </w:r>
      <w:r>
        <w:rPr>
          <w:rStyle w:val="16"/>
          <w:rFonts w:hint="eastAsia" w:asciiTheme="minorEastAsia" w:hAnsiTheme="minorEastAsia" w:eastAsiaTheme="minorEastAsia" w:cstheme="minorEastAsia"/>
          <w:sz w:val="24"/>
          <w:szCs w:val="24"/>
        </w:rPr>
        <w:footnoteReference w:id="1"/>
      </w:r>
      <w:r>
        <w:rPr>
          <w:rFonts w:hint="eastAsia" w:asciiTheme="minorEastAsia" w:hAnsiTheme="minorEastAsia" w:eastAsiaTheme="minorEastAsia" w:cstheme="minorEastAsia"/>
          <w:sz w:val="24"/>
          <w:szCs w:val="24"/>
          <w:vertAlign w:val="superscript"/>
        </w:rPr>
        <w:t>,</w:t>
      </w:r>
      <w:r>
        <w:rPr>
          <w:rStyle w:val="16"/>
          <w:rFonts w:hint="eastAsia" w:asciiTheme="minorEastAsia" w:hAnsiTheme="minorEastAsia" w:eastAsiaTheme="minorEastAsia" w:cstheme="minorEastAsia"/>
          <w:sz w:val="24"/>
          <w:szCs w:val="24"/>
        </w:rPr>
        <w:footnoteReference w:id="2"/>
      </w:r>
      <w:r>
        <w:rPr>
          <w:rFonts w:hint="eastAsia" w:asciiTheme="minorEastAsia" w:hAnsiTheme="minorEastAsia" w:eastAsiaTheme="minorEastAsia"/>
          <w:sz w:val="24"/>
          <w:szCs w:val="24"/>
        </w:rPr>
        <w:t>。设计要素可包括符号化传统元素</w:t>
      </w:r>
      <w:r>
        <w:rPr>
          <w:rFonts w:asciiTheme="minorEastAsia" w:hAnsiTheme="minorEastAsia" w:eastAsiaTheme="minorEastAsia"/>
          <w:sz w:val="24"/>
          <w:szCs w:val="24"/>
        </w:rPr>
        <w:t>(</w:t>
      </w:r>
      <w:r>
        <w:rPr>
          <w:rFonts w:hint="eastAsia" w:asciiTheme="minorEastAsia" w:hAnsiTheme="minorEastAsia" w:eastAsiaTheme="minorEastAsia"/>
          <w:sz w:val="24"/>
          <w:szCs w:val="24"/>
        </w:rPr>
        <w:t>斗拱、木雕屏风等）、运用地域性材料（木材、石材等）、空间色彩设计、反映民族与地域特色的室内陈设艺术、当代与传统结合的创新发展。</w:t>
      </w:r>
      <w:r>
        <w:rPr>
          <w:rStyle w:val="16"/>
          <w:rFonts w:hint="eastAsia" w:asciiTheme="minorEastAsia" w:hAnsiTheme="minorEastAsia" w:eastAsiaTheme="minorEastAsia" w:cstheme="minorEastAsia"/>
          <w:sz w:val="24"/>
          <w:szCs w:val="24"/>
        </w:rPr>
        <w:footnoteReference w:id="3"/>
      </w:r>
    </w:p>
    <w:p w14:paraId="39902AF3">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民族文化的融入可通过协调整体环境、规范化分割空间、采用民族象征元素、选择吉祥数字和图像、考虑色彩光学与民族文化元素的融合及在空间与环境处理中运用“天人合一”哲学思想实现。民族文化对室内设计的意义在于传承文化精髓、增强艺术风格、提高文化内涵、强化人与自然的和谐统一及符合地域特色和审美需求。设计要素包括：整体环境（人与自然）的和谐统一、空间与环境分割的规范化与层次感、象征意义的借鉴（如梅兰竹菊等表现高洁与美好愿望）、具有吉祥寓意的数字和图形的运用、色彩与光的处理、空间与环境处理（如运用“天人合一”的思想为居住者提供精神上的慰藉）。</w:t>
      </w:r>
    </w:p>
    <w:p w14:paraId="6ACC745B">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历史文脉在室内设计中的作用可传承文化精神、展现地域特色、促进文化交流与融合、维护本土文化氛围及实现可持续发展。运用要素包括尊重传统、注重继承；古为今用、意在创新；以人为本、和谐共融；遵守可持续发展原则。通过这些方式，室内设计不仅能保持生命力，还能在国际舞台上获得成功。</w:t>
      </w:r>
    </w:p>
    <w:p w14:paraId="4098BD39">
      <w:pPr>
        <w:spacing w:before="100" w:beforeAutospacing="1" w:after="100" w:afterAutospacing="1" w:line="312" w:lineRule="auto"/>
        <w:ind w:firstLine="480" w:firstLineChars="200"/>
        <w:rPr>
          <w:rFonts w:asciiTheme="minorEastAsia" w:hAnsiTheme="minorEastAsia" w:eastAsiaTheme="minorEastAsia"/>
          <w:sz w:val="24"/>
          <w:szCs w:val="24"/>
        </w:rPr>
      </w:pPr>
    </w:p>
    <w:p w14:paraId="3E9FF86B">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b/>
          <w:bCs/>
          <w:sz w:val="24"/>
          <w:szCs w:val="24"/>
        </w:rPr>
        <w:t>Ⅲ 感官体验</w:t>
      </w:r>
    </w:p>
    <w:p w14:paraId="59566F5C">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使用者在室内环境的行动过程中，多种感觉器官，如视觉、听觉、味觉嗅觉、触觉等，都在发挥着作用，感受着室内环境中的刺激信息。</w:t>
      </w:r>
    </w:p>
    <w:p w14:paraId="63FB0193">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使用者的感觉依赖于输入信息的性质、强度和差异。人们通过感觉器官接受来自于外部世界的刺激信息，引起感受器神经末梢产生兴奋冲动，沿神经通路传递到大脑皮层中视觉、触觉等感受区，产生感觉。为了令使用者获得舒适感受，设计师需要协调使用者多个感官通道以自然、并行、协作的方式进行交互，在设计过程中注意整合各个感官通道的特点和适宜条件，可以有助于激发使用者在室内环境使用过程中的舒适感受。</w:t>
      </w:r>
    </w:p>
    <w:p w14:paraId="2F78467C">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4.5.6</w:t>
      </w:r>
      <w:r>
        <w:rPr>
          <w:rFonts w:hint="eastAsia" w:asciiTheme="minorEastAsia" w:hAnsiTheme="minorEastAsia" w:eastAsiaTheme="minorEastAsia"/>
          <w:sz w:val="24"/>
          <w:szCs w:val="24"/>
        </w:rPr>
        <w:t>室内视觉环境设计不仅关乎空间的美观性，视觉环境设计还应以人为本，兼顾功能性与心理性，通过合理布局、色彩搭配、光影运用、结合自然光与人工照明的光线设计、家具布局及艺术装饰品的融入，创造实用、舒适且富有情感的空间环境。可考虑如下方面：</w:t>
      </w:r>
    </w:p>
    <w:p w14:paraId="3434D3F8">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1</w:t>
      </w:r>
      <w:r>
        <w:rPr>
          <w:rFonts w:hint="eastAsia" w:asciiTheme="minorEastAsia" w:hAnsiTheme="minorEastAsia" w:eastAsiaTheme="minorEastAsia"/>
          <w:sz w:val="24"/>
          <w:szCs w:val="24"/>
        </w:rPr>
        <w:t>）室内光照应根据不同类型空间的环境要求及不同人群特点，合理配置照明的光源、色温、照度、均匀度，准确描绘空间色彩。</w:t>
      </w:r>
    </w:p>
    <w:p w14:paraId="69B4B186">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）应根据空间功能需求及人群心理需求设计室内空间色彩，维持色彩的平衡及考虑自然光的变化。</w:t>
      </w:r>
      <w:r>
        <w:rPr>
          <w:rFonts w:asciiTheme="minorEastAsia" w:hAnsiTheme="minorEastAsia" w:eastAsiaTheme="minorEastAsia"/>
          <w:sz w:val="24"/>
          <w:szCs w:val="24"/>
        </w:rPr>
        <w:t xml:space="preserve"> </w:t>
      </w:r>
    </w:p>
    <w:p w14:paraId="540B591D">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3</w:t>
      </w:r>
      <w:r>
        <w:rPr>
          <w:rFonts w:hint="eastAsia" w:asciiTheme="minorEastAsia" w:hAnsiTheme="minorEastAsia" w:eastAsiaTheme="minorEastAsia"/>
          <w:sz w:val="24"/>
          <w:szCs w:val="24"/>
        </w:rPr>
        <w:t>）室内空间应该与功能相契合，形状、线条、比例、布局等造型元素应保持平衡，契合居住者对空间的感知。</w:t>
      </w:r>
    </w:p>
    <w:p w14:paraId="52669BE7">
      <w:pPr>
        <w:widowControl/>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4.5.7</w:t>
      </w:r>
      <w:r>
        <w:rPr>
          <w:rFonts w:hint="eastAsia" w:asciiTheme="minorEastAsia" w:hAnsiTheme="minorEastAsia" w:eastAsiaTheme="minorEastAsia"/>
          <w:sz w:val="24"/>
          <w:szCs w:val="24"/>
        </w:rPr>
        <w:t xml:space="preserve"> 室内外声环境设计应优先考虑居住者的感官舒适度与身体健康。噪音过高会导致焦虑、压力和睡眠障碍。暴露于交通噪音和室内噪音源（如空调、电子设备等）会增加患病风险，并影响隐私和舒适度。</w:t>
      </w:r>
    </w:p>
    <w:p w14:paraId="4577DC1D">
      <w:pPr>
        <w:widowControl/>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房间的隔声性能直接影响隐私保护和生活质量，噪音值体现房间的宁静度。设计时应考虑外部噪音的隔绝以及邻里之间的声音干扰，确保房间内的隐私性需求得到满足。如：外界噪音应控制在50分贝以内，办公空间如会议室的噪音标准应低于35分贝。</w:t>
      </w:r>
    </w:p>
    <w:p w14:paraId="22440D4B">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室内背景声环境需根据功能需求设计，创造适宜的空间氛围，改善空间的舒适感。设计时应确保声环境的平衡，避免过于嘈杂或过于安静的环境，使空间更加宜人。例如会议室应保持低噪音标准，在开放办公空间中，适度的背景音乐或白噪声（如风扇声、流水声）有助于提升工作效率并减少噪音干扰，避免过于安静产生的压抑感；会议室可采用吸音材料和低噪音设备来减少声波的反射，提升会议的音质；餐饮场所设计适当的背景音乐（如轻音乐或自然声）能帮助营造放松愉悦的氛围；卧室和客厅中，背景音（如风铃声、轻柔的音乐或自然音效）能营造放松的氛围，帮助居民放松心情、缓解压力。特别是在睡眠环境中，轻柔的白噪声可以有效屏蔽外部噪音，促进深度睡眠。此外，还应控制对人体不利的背景噪声，包括利用绿地等缓冲区减少室外噪音、采取低噪声室内设备、静音管道、主要功能空间远离噪声源等。</w:t>
      </w:r>
    </w:p>
    <w:p w14:paraId="27BEB809">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4.5.8</w:t>
      </w:r>
      <w:r>
        <w:rPr>
          <w:rFonts w:asciiTheme="minorEastAsia" w:hAnsiTheme="minorEastAsia" w:eastAsiaTheme="minorEastAsia"/>
          <w:sz w:val="24"/>
          <w:szCs w:val="24"/>
        </w:rPr>
        <w:t>装饰装修材料、家具、装饰品及构件的材质、色彩、造型与布局设计应不仅满足室内空间的功能需求，还要充分考虑使用者的心理需求，尤其是触觉体验。</w:t>
      </w:r>
    </w:p>
    <w:p w14:paraId="5AA6F72D">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室内设计中，触觉体验是空间感知的重要组成部分，影响着使用者的心理感受与情绪反应。触觉可以通过三种方式体验：直接感知（主动触摸）、间接感知（被动接触如风、阳光）和视触觉（通过视觉推测物体的触感）。因此，设计时应关注触觉在空间中的呈现，利用材质、色彩、造型等元素来塑造丰富的触觉体验，提升空间的整体质感与层次感，提升人们的参与度，继而达到传递内心感受的作用。</w:t>
      </w:r>
    </w:p>
    <w:p w14:paraId="5265653E">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不同材质带给使用者不同的心理暗示，例如，木材传递温暖、亲切的感受；石材则给人坚固、稳定的印象；而金属和玻璃则往往表现现代感和冰冷感。材质的触感对情绪有直接影响，光滑的表面让人感到平静和舒适，而粗糙的材质则可能引发焦虑。</w:t>
      </w:r>
    </w:p>
    <w:p w14:paraId="16E9EAF2">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色彩的冷暖、软硬、轻重、薄厚、干湿都与触觉感受密不可分，运用色彩与触觉的微妙联系，改善室内空间的氛围。</w:t>
      </w:r>
    </w:p>
    <w:p w14:paraId="26E6FD37">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物体的造型同样对触觉体验有着极大的影响，圆润光滑的形状使人感到舒适和安心，而尖锐的设计可能引发不安与焦虑。物体的外形、重量、大小等因素都会左右着我们对物体触感体验的分析。</w:t>
      </w:r>
    </w:p>
    <w:p w14:paraId="068CDC68">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在公共空间的布置上，我们通常还要考虑物体是否符合人们审美的逻辑，是否过于奇特异常，它的造型会给人们带来什么样的心理暗示等，都需要进行相关的思考。例如，一些室内设施设备也通过独特的造型设计，利用人体的触觉感受来规范人们的使用行为。</w:t>
      </w:r>
    </w:p>
    <w:p w14:paraId="64F048D0">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在公共空间设计中，材质和造型不仅影响空间美学，还对人们的行为与情绪产生深远影响。例如，通过对铺装材质的变化与调整来改变用户脚面与地面之间的感受点，从而对使用者的心理产生作用。通过细腻的材质变化和触感设计可以减少陌生感，增强空间的亲和力，传递平静、舒适的氛围，从而提高人们的整体心理舒适度。</w:t>
      </w:r>
    </w:p>
    <w:p w14:paraId="712634E4">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b/>
          <w:bCs/>
          <w:sz w:val="24"/>
          <w:szCs w:val="24"/>
        </w:rPr>
        <w:t>4.5.9</w:t>
      </w:r>
      <w:r>
        <w:rPr>
          <w:rFonts w:asciiTheme="minorEastAsia" w:hAnsiTheme="minorEastAsia" w:eastAsiaTheme="minorEastAsia"/>
          <w:sz w:val="24"/>
          <w:szCs w:val="24"/>
        </w:rPr>
        <w:t>室内空间应保持适宜的气味环境，确保空气清新、舒适，避免产生不良气味对使用者产生负面影响。气味是感官体验中极为重要的一环，能够直接影响人的情绪、舒适度和健康。过于强烈或明显的气味会破坏身体和心理舒适度，甚至引发眼睛、鼻子和喉咙刺激、恶心和头痛，限制这些气味可以极大地提高居住者的舒适度。室内空间的气味管理应从以下几个方面着手：</w:t>
      </w:r>
    </w:p>
    <w:p w14:paraId="61C80D28">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（1）通风与空气流通：确保室内有良好的通风系统，及时排除有害气体与异味，保持空气流通，避免霉味、烟味等不良气味滋生。</w:t>
      </w:r>
    </w:p>
    <w:p w14:paraId="52AD9AF6">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（2）清洁与卫生管理：定期清洁厨房、卫生间等易积聚异味的区域，使用适当的清洁剂，避免使用强烈化学气味的产品。</w:t>
      </w:r>
    </w:p>
    <w:p w14:paraId="691EAAA1">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（3）空气净化与除臭： 使用空气净化设备或适当的除臭产品，消除有害物质和不愉快气味，提升室内空气质量。</w:t>
      </w:r>
    </w:p>
    <w:p w14:paraId="5884C578">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（4）材料选择：选择低气味、无毒或低挥发性的建筑和装饰材料，避免使用散发有害气味的涂料、地板和家具。天然材料如木材、棉麻等有助于创造清新氛围。</w:t>
      </w:r>
    </w:p>
    <w:p w14:paraId="78986468">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（5）香氛设计：可通过香氛系统创造宜人的空间气味，使用清新的花香、草香等提升空间氛围，增强舒适感。</w:t>
      </w:r>
    </w:p>
    <w:p w14:paraId="0950E57E">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（6）气味隔离：所有卫生间、清洁间、厨房、自助餐厅和食品储藏室都通过转换空间、前厅、走廊、自动关闭门等分离方法防止强烈气味扩散到其他空间区域：。</w:t>
      </w:r>
    </w:p>
    <w:p w14:paraId="7F80C20D">
      <w:pPr>
        <w:spacing w:before="100" w:beforeAutospacing="1" w:after="100" w:afterAutospacing="1" w:line="312" w:lineRule="auto"/>
        <w:ind w:firstLine="480" w:firstLineChars="200"/>
        <w:rPr>
          <w:rFonts w:asciiTheme="minorEastAsia" w:hAnsiTheme="minorEastAsia" w:eastAsiaTheme="minorEastAsia"/>
          <w:sz w:val="24"/>
          <w:szCs w:val="24"/>
        </w:rPr>
      </w:pPr>
    </w:p>
    <w:p w14:paraId="09A15E2B">
      <w:pPr>
        <w:spacing w:before="100" w:beforeAutospacing="1" w:after="100" w:afterAutospacing="1" w:line="312" w:lineRule="auto"/>
        <w:jc w:val="center"/>
        <w:rPr>
          <w:rFonts w:asciiTheme="minorEastAsia" w:hAnsiTheme="minorEastAsia" w:eastAsiaTheme="minorEastAsia"/>
          <w:b/>
          <w:bCs/>
          <w:sz w:val="24"/>
          <w:szCs w:val="24"/>
        </w:rPr>
      </w:pPr>
    </w:p>
    <w:p w14:paraId="0EA64B66">
      <w:pPr>
        <w:spacing w:before="100" w:beforeAutospacing="1" w:after="100" w:afterAutospacing="1" w:line="312" w:lineRule="auto"/>
        <w:jc w:val="center"/>
        <w:rPr>
          <w:rFonts w:asciiTheme="minorEastAsia" w:hAnsiTheme="minorEastAsia" w:eastAsiaTheme="minorEastAsia"/>
          <w:b/>
          <w:bCs/>
          <w:sz w:val="24"/>
          <w:szCs w:val="24"/>
        </w:rPr>
      </w:pPr>
    </w:p>
    <w:p w14:paraId="1CA74F3D">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b/>
          <w:bCs/>
          <w:sz w:val="24"/>
          <w:szCs w:val="24"/>
        </w:rPr>
        <w:t>Ⅳ 功能营造</w:t>
      </w:r>
    </w:p>
    <w:p w14:paraId="5997A010">
      <w:pPr>
        <w:widowControl/>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4.5.10</w:t>
      </w:r>
      <w:r>
        <w:rPr>
          <w:rFonts w:hint="eastAsia" w:asciiTheme="minorEastAsia" w:hAnsiTheme="minorEastAsia" w:eastAsiaTheme="minorEastAsia"/>
          <w:sz w:val="24"/>
          <w:szCs w:val="24"/>
        </w:rPr>
        <w:t>私密性“可定义为个人或人群有控制自身与他人接近，并决定什么时候，以什么方式，在什么程度上与他人交换信息的需要。”</w:t>
      </w:r>
      <w:r>
        <w:rPr>
          <w:rStyle w:val="16"/>
          <w:rFonts w:hint="eastAsia" w:asciiTheme="minorEastAsia" w:hAnsiTheme="minorEastAsia" w:eastAsiaTheme="minorEastAsia" w:cstheme="minorEastAsia"/>
          <w:sz w:val="24"/>
          <w:szCs w:val="24"/>
        </w:rPr>
        <w:t xml:space="preserve"> </w:t>
      </w:r>
      <w:r>
        <w:rPr>
          <w:rStyle w:val="16"/>
          <w:rFonts w:hint="eastAsia" w:asciiTheme="minorEastAsia" w:hAnsiTheme="minorEastAsia" w:eastAsiaTheme="minorEastAsia" w:cstheme="minorEastAsia"/>
          <w:sz w:val="24"/>
          <w:szCs w:val="24"/>
        </w:rPr>
        <w:footnoteReference w:id="4"/>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在室内环境中，增强环境私密性有多种设计手法，可以通过光线的强弱变化、增加背景音效或通过空间尺度、利用空间分隔形成不同的开敞效果来实现。</w:t>
      </w:r>
    </w:p>
    <w:p w14:paraId="28E47BE7">
      <w:pPr>
        <w:widowControl/>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私密性并非指完全孤立或疏离，而是在空间中为个体提供自我控制的自由度。在公共空间（如餐馆、茶社、酒吧等）中，隐蔽性较好的座位往往更受欢迎，这表明私密性需求在各类社交场所中的重要性。私密性并非指完全孤立或疏离，而是在空间中为个体提供自我控制的自由度。在公共空间（如餐馆、茶社、酒吧等）中，隐蔽性较好的座位往往更受欢迎，这表明私密性需求在各类社交场所中的重要性。在居住空间中，若家庭成员之间缺乏合理的私密性，必然会影响彼此的生活质量与家庭关系。</w:t>
      </w:r>
      <w:r>
        <w:rPr>
          <w:rStyle w:val="16"/>
          <w:rFonts w:hint="eastAsia" w:asciiTheme="minorEastAsia" w:hAnsiTheme="minorEastAsia" w:eastAsiaTheme="minorEastAsia" w:cstheme="minorEastAsia"/>
          <w:sz w:val="24"/>
          <w:szCs w:val="24"/>
        </w:rPr>
        <w:footnoteReference w:id="5"/>
      </w:r>
      <w:r>
        <w:rPr>
          <w:rFonts w:hint="eastAsia" w:asciiTheme="minorEastAsia" w:hAnsiTheme="minorEastAsia" w:eastAsiaTheme="minorEastAsia"/>
          <w:sz w:val="24"/>
          <w:szCs w:val="24"/>
        </w:rPr>
        <w:t>除了用实体墙分隔空间外，住宅、酒店和客房均可利用家具、可移动屏风、调光玻璃（透明度）、陈设品等分隔空间，实现私密性。</w:t>
      </w:r>
      <w:r>
        <w:rPr>
          <w:rStyle w:val="16"/>
          <w:rFonts w:hint="eastAsia" w:asciiTheme="minorEastAsia" w:hAnsiTheme="minorEastAsia" w:eastAsiaTheme="minorEastAsia" w:cstheme="minorEastAsia"/>
          <w:sz w:val="24"/>
          <w:szCs w:val="24"/>
        </w:rPr>
        <w:footnoteReference w:id="6"/>
      </w:r>
      <w:r>
        <w:rPr>
          <w:rFonts w:hint="eastAsia" w:asciiTheme="minorEastAsia" w:hAnsiTheme="minorEastAsia" w:eastAsiaTheme="minorEastAsia"/>
          <w:sz w:val="24"/>
          <w:szCs w:val="24"/>
        </w:rPr>
        <w:t>设计时要避免视线的直接接触，通过窗帘、百叶窗等方式，防止外界窥探。对于听觉隐私的保护，应选用吸音材料和隔音设施，减少噪音传播。</w:t>
      </w:r>
    </w:p>
    <w:p w14:paraId="60720A95">
      <w:pPr>
        <w:widowControl/>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4.5.11</w:t>
      </w:r>
      <w:r>
        <w:rPr>
          <w:rFonts w:hint="eastAsia" w:asciiTheme="minorEastAsia" w:hAnsiTheme="minorEastAsia" w:eastAsiaTheme="minorEastAsia"/>
          <w:sz w:val="24"/>
          <w:szCs w:val="24"/>
        </w:rPr>
        <w:t>居住空间设计应以舒适性为核心，空间尺度应宽松适度，以满足居住者的活动需求和心理需求，避免狭小、压抑感。</w:t>
      </w:r>
    </w:p>
    <w:p w14:paraId="120CE2C7">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4.5.12</w:t>
      </w:r>
      <w:r>
        <w:rPr>
          <w:rFonts w:hint="eastAsia" w:asciiTheme="minorEastAsia" w:hAnsiTheme="minorEastAsia" w:eastAsiaTheme="minorEastAsia"/>
          <w:sz w:val="24"/>
          <w:szCs w:val="24"/>
        </w:rPr>
        <w:t>工作区域的照明设计应符合现行国家标准《建筑环境通用规范》GB 55016、《建筑照明设计标准》GB/T50034标准要求及本标准中章节4.2要求，以确保视觉的清晰度和舒适度。</w:t>
      </w:r>
    </w:p>
    <w:p w14:paraId="1364AE4F">
      <w:pPr>
        <w:widowControl/>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视野、光线与室内环境中工作效率、舒适度等存在密切联系。为室内提供充足且均匀的光线可以对个人的生产</w:t>
      </w:r>
      <w:r>
        <w:rPr>
          <w:rFonts w:hint="eastAsia" w:ascii="Noto Sans SC" w:hAnsi="Noto Sans SC" w:eastAsia="Noto Sans SC" w:cs="Noto Sans SC"/>
          <w:sz w:val="24"/>
          <w:szCs w:val="24"/>
        </w:rPr>
        <w:t>力</w:t>
      </w:r>
      <w:r>
        <w:rPr>
          <w:rFonts w:hint="eastAsia" w:asciiTheme="minorEastAsia" w:hAnsiTheme="minorEastAsia" w:eastAsiaTheme="minorEastAsia"/>
          <w:sz w:val="24"/>
          <w:szCs w:val="24"/>
        </w:rPr>
        <w:t>和情绪产生积极影响，室内环境的光照水平可以通过建筑设计、立面设计、空间布局和照明设计来实现。窗户、中庭和天窗是可用来增加空间日光的设计特征。在自然光较强的情况下，需配备可调节的窗帘或百叶窗，以避免阳光直射造成视觉干扰。</w:t>
      </w:r>
    </w:p>
    <w:p w14:paraId="187FC127">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4.5.13</w:t>
      </w:r>
      <w:r>
        <w:rPr>
          <w:rFonts w:hint="eastAsia" w:asciiTheme="minorEastAsia" w:hAnsiTheme="minorEastAsia" w:eastAsiaTheme="minorEastAsia"/>
          <w:sz w:val="24"/>
          <w:szCs w:val="24"/>
        </w:rPr>
        <w:t>文化与娱乐场所的空间设计不仅应当关注功能性和美学效果，更应以使用者的体验感受为核心。通过精心的空间组织与环境氛围的创造，可以有效提升使用者的情绪体验，使其在场所中获得身心愉悦与情感上的共鸣。</w:t>
      </w:r>
    </w:p>
    <w:p w14:paraId="7821AE56">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首先，空间布局需要灵活而有序，合理的动线设计能够确保人流的顺畅流动，避免拥堵和混乱。同时，设计中的不同功能区域应有明确的划分，但又要通过视觉或空间的衔接，使得每个区域之间自然过渡，保持一定的开放感，让使用者能够舒适地从一个空间移动到另一个空间。展馆空间可选择直线型、环线型或自由型线路，设计其人行流线，实现人性化设计</w:t>
      </w:r>
      <w:r>
        <w:rPr>
          <w:rStyle w:val="16"/>
          <w:rFonts w:hint="eastAsia" w:asciiTheme="minorEastAsia" w:hAnsiTheme="minorEastAsia" w:eastAsiaTheme="minorEastAsia" w:cstheme="minorEastAsia"/>
          <w:sz w:val="24"/>
          <w:szCs w:val="24"/>
        </w:rPr>
        <w:footnoteReference w:id="7"/>
      </w:r>
      <w:r>
        <w:rPr>
          <w:rFonts w:hint="eastAsia" w:asciiTheme="minorEastAsia" w:hAnsiTheme="minorEastAsia" w:eastAsiaTheme="minorEastAsia"/>
          <w:sz w:val="24"/>
          <w:szCs w:val="24"/>
        </w:rPr>
        <w:t>。</w:t>
      </w:r>
    </w:p>
    <w:p w14:paraId="3F2A09C9">
      <w:pPr>
        <w:widowControl/>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环境氛围的营造则通过灯光、色彩、材质等元素的综合运用来塑造。灯光的变化不仅影响空间的可见度，还直接关系到情绪的调动。例如，柔和温暖的灯光可以带来放松和宁静，而明亮活跃的灯光则能激发活力。色彩上，可以根据文化主题或娱乐属性选择符合的色调，冷色调适合静谧的文化氛围，暖色调则适合欢乐和热烈的娱乐气氛。</w:t>
      </w:r>
    </w:p>
    <w:p w14:paraId="4AC63744">
      <w:pPr>
        <w:widowControl/>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可通过运用声光电等展示手法，选择场景还原式互动、轻量化互动（借助AR等互动触摸屏、互动投影、小型互动装置）或沉浸式互动（运用立体互动投影技术等创造立体空间结构与艺术化的画面</w:t>
      </w:r>
      <w:r>
        <w:rPr>
          <w:rFonts w:hint="eastAsia" w:asciiTheme="minorEastAsia" w:hAnsiTheme="minorEastAsia" w:eastAsiaTheme="minorEastAsia"/>
        </w:rPr>
        <w:footnoteReference w:id="8"/>
      </w:r>
      <w:r>
        <w:rPr>
          <w:rFonts w:hint="eastAsia" w:asciiTheme="minorEastAsia" w:hAnsiTheme="minorEastAsia" w:eastAsiaTheme="minorEastAsia"/>
          <w:sz w:val="24"/>
          <w:szCs w:val="24"/>
        </w:rPr>
        <w:t>）等互动方式营造亲切氛围，运用音乐、照片、灯光等形式，从感官体验、互动体验、情景体验中塑造让人身临其境的艺术感受，使人员产生心理愉悦感。</w:t>
      </w:r>
    </w:p>
    <w:p w14:paraId="3142FDFA">
      <w:pPr>
        <w:widowControl/>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材质的选择也同样重要，温暖的木材、光滑的石材、柔软的织物等都能通过触感给予使用者不同的心理体验，进一步增强舒适度和沉浸感。同时，声学设计同样不可忽视，合理的音响布局能有效营造氛围，提升空间的沉浸感。</w:t>
      </w:r>
    </w:p>
    <w:p w14:paraId="7216243A">
      <w:pPr>
        <w:widowControl/>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综上所述，文化与娱乐场所的空间设计应以使用者的情绪和体验为导向，通过合理的空间组织与环境元素的搭配，创造出能够引发情感共鸣的空间氛围，提升整体体验感。</w:t>
      </w:r>
      <w:r>
        <w:rPr>
          <w:rFonts w:asciiTheme="minorEastAsia" w:hAnsiTheme="minorEastAsia" w:eastAsiaTheme="minorEastAsia"/>
          <w:sz w:val="24"/>
          <w:szCs w:val="24"/>
        </w:rPr>
        <w:t xml:space="preserve"> </w:t>
      </w:r>
    </w:p>
    <w:p w14:paraId="5678BF0D">
      <w:pPr>
        <w:widowControl/>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4.5.14</w:t>
      </w:r>
      <w:r>
        <w:rPr>
          <w:rFonts w:hint="eastAsia" w:asciiTheme="minorEastAsia" w:hAnsiTheme="minorEastAsia" w:eastAsiaTheme="minorEastAsia"/>
          <w:sz w:val="24"/>
          <w:szCs w:val="24"/>
        </w:rPr>
        <w:t>交通建筑室内空间的视觉引导系统在提升使用者的通行效率和舒适度方面发挥着至关重要的作用。通过科学的设计，确保路径流畅、信息传达清晰且层次分明，是打造高效、便捷交通环境的关键。视觉引导不仅帮助使用者快速定位、判断方向，还通过色彩、符号、图像等元素的有机结合，提升空间的可读性与引导性。</w:t>
      </w:r>
    </w:p>
    <w:p w14:paraId="71464AD5">
      <w:pPr>
        <w:widowControl/>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具体而言，视觉引导系统涵盖了静态与动态两个层面。静态设计侧重于符号、标识和图像的清晰呈现，以确保使用者在视觉上可以快速识别路径与目标区域。动态设计则着重于信息的连续传递和路径的渐进引导，通过灯光、标牌、地面指示等方式，引导使用者在复杂的空间中顺畅流动，避免迷失或混乱。</w:t>
      </w:r>
    </w:p>
    <w:p w14:paraId="30B1C9E9">
      <w:pPr>
        <w:widowControl/>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此外，设计还应结合“客户旅程”理论，从乘客的定位、认知到行动等多个阶段考虑需求差异，优化每个触点的设计，提升使用者的整体体验。视觉引导系统的有效设计不仅满足功能性需求，还能创造连贯、一致的空间体验，帮助使用者高效完成出行任务，确保交通建筑内部空间的顺畅流动与舒适感。</w:t>
      </w:r>
    </w:p>
    <w:p w14:paraId="2F9BC54A">
      <w:pPr>
        <w:widowControl/>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设计原则遵循着路径的流畅性和渐进性、信息的层次性和持续性、过程的整体性和连贯性，以及“人”这一主体在整个过程中的使用高效性和良好感受度。路径流畅性与渐进性确保使用者能顺利通行，避免拥堵并逐步引导他们前进。例如，机场内通道设计宽敞，关键节点提供明确指示，确保乘客顺利到达目的地。信息传达的层次性与连续性指引信息应逐步递进，避免过载。在地铁站，初步方向指引逐渐转为更详细的信息，帮助乘客清晰识别路线。空间体验的整体性与连贯性确保不同区域之间的视觉与功能一致，使空间过渡自然。例如，火车站的候车区与登车口保持统一设计风格，让乘客感到舒适、连贯。这些设计要素协同作用，提升使用者的出行效率与体验感，使空间既高效又愉悦。</w:t>
      </w:r>
    </w:p>
    <w:p w14:paraId="05EC72F7">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4.5.15</w:t>
      </w:r>
      <w:r>
        <w:rPr>
          <w:rFonts w:hint="eastAsia" w:asciiTheme="minorEastAsia" w:hAnsiTheme="minorEastAsia" w:eastAsiaTheme="minorEastAsia"/>
          <w:sz w:val="24"/>
          <w:szCs w:val="24"/>
        </w:rPr>
        <w:t>医疗建筑室内空间设计不仅要满足基本的功能需求和合理的空间布局，还需要充分考虑病患的心理感受和情绪需求，以创造一个有助于康复的环境。首先，合理的功能布局可以确保医疗流程的高效性，例如，将诊疗区、候诊区、医务人员工作区等进行科学分区，避免空间拥挤和交叉干扰，从而提高医疗效率和患者舒适度。通过功能区的合理分离，如康复区、休闲区与医护工作区的过渡设计，能够有效缓解病患压力。对于老年人，合理的空间布局、清晰的交通导向、空间的直达性、大小适宜的房间、优美的景园环境都能大大提高空间体验舒适度。</w:t>
      </w:r>
    </w:p>
    <w:p w14:paraId="5B03215B">
      <w:pPr>
        <w:spacing w:before="100" w:beforeAutospacing="1" w:after="100" w:afterAutospacing="1" w:line="312" w:lineRule="auto"/>
        <w:ind w:firstLine="482"/>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其次，医疗空间的设计或疗愈性设计应注重病患的情绪管理，利用色彩、光线、声音、空气和植物等元素营造温馨、宁静的氛围，提升患者的生理与心理感受。例如，选择柔和的色调、温暖光源、自然光的引入、以及温馨的装饰物品，可以缓解患者的焦虑情绪。合理的家居摆放、精美的艺术品陈设、巧妙的布景可为老年人提供舒适交流的场景，也可为医疗空间提供功能性过渡，缓解老年人紧张情绪</w:t>
      </w:r>
      <w:r>
        <w:rPr>
          <w:rFonts w:hint="eastAsia" w:asciiTheme="minorEastAsia" w:hAnsiTheme="minorEastAsia" w:eastAsiaTheme="minorEastAsia"/>
        </w:rPr>
        <w:footnoteReference w:id="9"/>
      </w:r>
      <w:r>
        <w:rPr>
          <w:rFonts w:hint="eastAsia" w:asciiTheme="minorEastAsia" w:hAnsiTheme="minorEastAsia" w:eastAsiaTheme="minorEastAsia"/>
          <w:sz w:val="24"/>
          <w:szCs w:val="24"/>
        </w:rPr>
        <w:t>。</w:t>
      </w:r>
    </w:p>
    <w:p w14:paraId="22237FAB">
      <w:pPr>
        <w:spacing w:before="100" w:beforeAutospacing="1" w:after="100" w:afterAutospacing="1" w:line="312" w:lineRule="auto"/>
        <w:ind w:firstLine="240" w:firstLineChars="1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适当的私密性设计、舒适的候诊环境以及清晰的标识系统都能帮助患者减少不安与困惑，提升其就医体验。</w:t>
      </w:r>
    </w:p>
    <w:p w14:paraId="46E59445">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此外，适宜的色彩能够有效调节病人的情绪，辅助治疗。色彩心理学表明</w:t>
      </w:r>
      <w:r>
        <w:rPr>
          <w:rFonts w:hint="eastAsia" w:asciiTheme="minorEastAsia" w:hAnsiTheme="minorEastAsia" w:eastAsiaTheme="minorEastAsia"/>
          <w:sz w:val="24"/>
          <w:szCs w:val="24"/>
          <w:vertAlign w:val="superscript"/>
        </w:rPr>
        <w:footnoteReference w:id="10"/>
      </w:r>
      <w:r>
        <w:rPr>
          <w:rFonts w:hint="eastAsia" w:asciiTheme="minorEastAsia" w:hAnsiTheme="minorEastAsia" w:eastAsiaTheme="minorEastAsia"/>
          <w:sz w:val="24"/>
          <w:szCs w:val="24"/>
        </w:rPr>
        <w:t>，暖色调能减轻病人的焦虑感，营造温馨的氛围，而冷色调则适合干净、信任的治疗区域。康复医疗的导视系统需要结合色彩与图形的设计，提升患者与医疗环境的亲近感；儿童医院导视系统设计需要考虑材料与设计的安全性、导向指示性以及趣味性</w:t>
      </w:r>
      <w:r>
        <w:rPr>
          <w:rFonts w:hint="eastAsia" w:asciiTheme="minorEastAsia" w:hAnsiTheme="minorEastAsia" w:eastAsiaTheme="minorEastAsia"/>
          <w:sz w:val="24"/>
          <w:szCs w:val="24"/>
          <w:vertAlign w:val="superscript"/>
        </w:rPr>
        <w:footnoteReference w:id="11"/>
      </w:r>
      <w:r>
        <w:rPr>
          <w:rFonts w:hint="eastAsia" w:asciiTheme="minorEastAsia" w:hAnsiTheme="minorEastAsia" w:eastAsiaTheme="minorEastAsia"/>
          <w:sz w:val="24"/>
          <w:szCs w:val="24"/>
        </w:rPr>
        <w:t>。总之，医疗建筑的室内设计应关注细节，平衡功能性与情感需求，为患者提供既高效又舒适、温馨的就医环境，促进身心健康。</w:t>
      </w:r>
    </w:p>
    <w:p w14:paraId="7075EA0A">
      <w:pPr>
        <w:spacing w:before="100" w:beforeAutospacing="1" w:after="100" w:afterAutospacing="1" w:line="312" w:lineRule="auto"/>
        <w:rPr>
          <w:rFonts w:asciiTheme="minorEastAsia" w:hAnsiTheme="minorEastAsia" w:eastAsiaTheme="minorEastAsia"/>
          <w:szCs w:val="21"/>
        </w:rPr>
      </w:pPr>
    </w:p>
    <w:p w14:paraId="76A06CB4">
      <w:pPr>
        <w:spacing w:before="100" w:beforeAutospacing="1" w:after="100" w:afterAutospacing="1" w:line="312" w:lineRule="auto"/>
        <w:jc w:val="center"/>
        <w:rPr>
          <w:rFonts w:asciiTheme="minorEastAsia" w:hAnsiTheme="minorEastAsia" w:eastAsiaTheme="minorEastAsia"/>
          <w:szCs w:val="21"/>
        </w:rPr>
      </w:pPr>
      <w:r>
        <w:rPr>
          <w:rFonts w:asciiTheme="minorEastAsia" w:hAnsiTheme="minorEastAsia" w:eastAsiaTheme="minorEastAsia"/>
          <w:b/>
          <w:bCs/>
          <w:sz w:val="24"/>
          <w:szCs w:val="24"/>
        </w:rPr>
        <w:t>4.6 人本关怀</w:t>
      </w:r>
    </w:p>
    <w:p w14:paraId="037724F6">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4.6.1</w:t>
      </w:r>
      <w:r>
        <w:rPr>
          <w:rFonts w:hint="eastAsia" w:asciiTheme="minorEastAsia" w:hAnsiTheme="minorEastAsia" w:eastAsiaTheme="minorEastAsia"/>
          <w:sz w:val="24"/>
          <w:szCs w:val="24"/>
        </w:rPr>
        <w:t>本条文强调在建筑室内应采取全面的安全防护措施，以保障特殊人群（如儿童、老年人、女性及体弱病患等）在建筑空间内的活动安全。考虑到这些人群在生理、心理等方面的特殊需求，设计中应充分考虑防护措施的周全性，包括扶手、无障碍通道、防滑地面、紧急呼叫系统等设施，以降低潜在风险，确保其在使用空间时的安全。</w:t>
      </w:r>
    </w:p>
    <w:p w14:paraId="0CD1B6AE">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cstheme="minorEastAsia"/>
          <w:b/>
          <w:bCs/>
          <w:sz w:val="24"/>
          <w:szCs w:val="24"/>
        </w:rPr>
        <w:t>4.6.2</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b/>
          <w:bCs/>
          <w:sz w:val="24"/>
          <w:szCs w:val="24"/>
        </w:rPr>
        <w:t xml:space="preserve"> </w:t>
      </w:r>
      <w:r>
        <w:rPr>
          <w:rFonts w:hint="eastAsia" w:asciiTheme="minorEastAsia" w:hAnsiTheme="minorEastAsia" w:eastAsiaTheme="minorEastAsia"/>
          <w:sz w:val="24"/>
          <w:szCs w:val="24"/>
        </w:rPr>
        <w:t>本条文要求建筑室内外连接区域设置连贯的无障碍通行流线，以方便所有使用者的通行，特别是老年人、儿童、残障人士等。无障碍设施的设计应符合相关规范，确保所有通道宽敞、无障碍物，并配备合适的坡道、电梯、扶手等设施。通过这些设计，保证特殊人群能够顺畅、便利地流动于建筑内部及外部，促进建筑的普适性。</w:t>
      </w:r>
    </w:p>
    <w:p w14:paraId="6459E55C">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cstheme="minorEastAsia"/>
          <w:b/>
          <w:bCs/>
          <w:sz w:val="24"/>
          <w:szCs w:val="24"/>
        </w:rPr>
        <w:t>4.6.3</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sz w:val="24"/>
          <w:szCs w:val="24"/>
        </w:rPr>
        <w:t>此条文要求在室内空间设计时，充分考虑特殊使用群体（如婴幼儿、老年人、女性等）的生理和心理需求。设计时应根据他们的特点，提供专门的功能空间和辅助设施。例如，为老年人设计的休息区、婴幼儿护理空间以及女性专用设施等，都应符合其身体的舒适需求和心理安全感，增强其使用体验。</w:t>
      </w:r>
    </w:p>
    <w:p w14:paraId="67C0E471">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cstheme="minorEastAsia"/>
          <w:b/>
          <w:bCs/>
          <w:sz w:val="24"/>
          <w:szCs w:val="24"/>
        </w:rPr>
        <w:t>4.6.4</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b/>
          <w:bCs/>
          <w:sz w:val="24"/>
          <w:szCs w:val="24"/>
        </w:rPr>
        <w:t xml:space="preserve"> </w:t>
      </w:r>
      <w:r>
        <w:rPr>
          <w:rFonts w:hint="eastAsia" w:asciiTheme="minorEastAsia" w:hAnsiTheme="minorEastAsia" w:eastAsiaTheme="minorEastAsia"/>
          <w:sz w:val="24"/>
          <w:szCs w:val="24"/>
        </w:rPr>
        <w:t>本条文强调建筑空间应根据不同使用人群的特点，合理配置功能空间和配套设施。考虑到不同群体的多样化需求，设计应提供灵活、多元化的空间使用方式。例如，对于老年人应设置无障碍空间和高低可调节的家具等；对于儿童，应提供专用的活动和学习区域、防撞材料及软性地面、低位洗手池、便池及防滑地面等；同时，设计还应考虑到女性、孕妇、护理人员等群体的需求，通过差异化的设计，满足不同用户的需求。</w:t>
      </w:r>
    </w:p>
    <w:p w14:paraId="6E08C413">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sz w:val="24"/>
          <w:szCs w:val="24"/>
        </w:rPr>
        <w:br w:type="page"/>
      </w:r>
    </w:p>
    <w:p w14:paraId="18281EDC">
      <w:pPr>
        <w:spacing w:before="100" w:beforeAutospacing="1" w:after="100" w:afterAutospacing="1" w:line="312" w:lineRule="auto"/>
        <w:rPr>
          <w:rFonts w:asciiTheme="minorEastAsia" w:hAnsiTheme="minorEastAsia" w:eastAsiaTheme="minorEastAsia"/>
          <w:sz w:val="24"/>
          <w:szCs w:val="24"/>
        </w:rPr>
      </w:pPr>
    </w:p>
    <w:p w14:paraId="615704DC">
      <w:pPr>
        <w:spacing w:before="100" w:beforeAutospacing="1" w:after="100" w:afterAutospacing="1" w:line="312" w:lineRule="auto"/>
        <w:jc w:val="center"/>
        <w:outlineLvl w:val="0"/>
        <w:rPr>
          <w:rFonts w:asciiTheme="minorEastAsia" w:hAnsiTheme="minorEastAsia" w:eastAsiaTheme="minorEastAsia"/>
          <w:b/>
          <w:bCs/>
          <w:sz w:val="28"/>
          <w:szCs w:val="28"/>
        </w:rPr>
      </w:pPr>
      <w:bookmarkStart w:id="367" w:name="_Toc542"/>
      <w:bookmarkStart w:id="368" w:name="_Toc22645"/>
      <w:bookmarkStart w:id="369" w:name="_Toc14597"/>
      <w:r>
        <w:rPr>
          <w:rFonts w:asciiTheme="minorEastAsia" w:hAnsiTheme="minorEastAsia" w:eastAsiaTheme="minorEastAsia"/>
          <w:b/>
          <w:bCs/>
          <w:sz w:val="28"/>
          <w:szCs w:val="28"/>
        </w:rPr>
        <w:t>5 技术措施</w:t>
      </w:r>
      <w:bookmarkEnd w:id="367"/>
      <w:bookmarkEnd w:id="368"/>
      <w:bookmarkEnd w:id="369"/>
    </w:p>
    <w:p w14:paraId="626264C8">
      <w:pPr>
        <w:spacing w:before="100" w:beforeAutospacing="1" w:after="100" w:afterAutospacing="1" w:line="312" w:lineRule="auto"/>
        <w:jc w:val="center"/>
        <w:outlineLvl w:val="1"/>
        <w:rPr>
          <w:rFonts w:asciiTheme="minorEastAsia" w:hAnsiTheme="minorEastAsia" w:eastAsiaTheme="minorEastAsia"/>
          <w:b/>
          <w:bCs/>
          <w:sz w:val="24"/>
          <w:szCs w:val="24"/>
        </w:rPr>
      </w:pPr>
      <w:bookmarkStart w:id="370" w:name="_Toc27770"/>
      <w:bookmarkStart w:id="371" w:name="_Toc22258"/>
      <w:bookmarkStart w:id="372" w:name="_Toc1165"/>
      <w:r>
        <w:rPr>
          <w:rFonts w:asciiTheme="minorEastAsia" w:hAnsiTheme="minorEastAsia" w:eastAsiaTheme="minorEastAsia"/>
          <w:b/>
          <w:bCs/>
          <w:sz w:val="24"/>
          <w:szCs w:val="24"/>
        </w:rPr>
        <w:t>5.1 建筑</w:t>
      </w:r>
      <w:bookmarkEnd w:id="370"/>
      <w:bookmarkEnd w:id="371"/>
      <w:bookmarkEnd w:id="372"/>
    </w:p>
    <w:p w14:paraId="73C125F8">
      <w:pPr>
        <w:spacing w:before="100" w:beforeAutospacing="1" w:after="100" w:afterAutospacing="1" w:line="312" w:lineRule="auto"/>
        <w:jc w:val="center"/>
        <w:outlineLvl w:val="1"/>
        <w:rPr>
          <w:rFonts w:asciiTheme="minorEastAsia" w:hAnsiTheme="minorEastAsia" w:eastAsiaTheme="minorEastAsia"/>
          <w:b/>
          <w:bCs/>
          <w:sz w:val="24"/>
          <w:szCs w:val="24"/>
        </w:rPr>
      </w:pPr>
      <w:bookmarkStart w:id="373" w:name="_Toc22667"/>
      <w:bookmarkStart w:id="374" w:name="_Toc15339"/>
      <w:bookmarkStart w:id="375" w:name="_Toc27139"/>
      <w:r>
        <w:rPr>
          <w:rFonts w:asciiTheme="minorEastAsia" w:hAnsiTheme="minorEastAsia" w:eastAsiaTheme="minorEastAsia"/>
          <w:b/>
          <w:bCs/>
          <w:sz w:val="24"/>
          <w:szCs w:val="24"/>
        </w:rPr>
        <w:t>5.2 建筑室内装修</w:t>
      </w:r>
      <w:bookmarkEnd w:id="373"/>
      <w:bookmarkEnd w:id="374"/>
      <w:bookmarkEnd w:id="375"/>
    </w:p>
    <w:p w14:paraId="53DA88B7">
      <w:pPr>
        <w:spacing w:before="100" w:beforeAutospacing="1" w:after="100" w:afterAutospacing="1" w:line="312" w:lineRule="auto"/>
        <w:rPr>
          <w:rFonts w:asciiTheme="minorEastAsia" w:hAnsiTheme="minorEastAsia" w:eastAsiaTheme="minorEastAsia"/>
          <w:sz w:val="24"/>
        </w:rPr>
      </w:pPr>
      <w:r>
        <w:rPr>
          <w:rFonts w:hint="eastAsia" w:asciiTheme="minorEastAsia" w:hAnsiTheme="minorEastAsia" w:eastAsiaTheme="minorEastAsia"/>
          <w:b/>
          <w:bCs/>
          <w:sz w:val="24"/>
        </w:rPr>
        <w:t>5.2.13</w:t>
      </w:r>
      <w:r>
        <w:rPr>
          <w:rFonts w:asciiTheme="minorEastAsia" w:hAnsiTheme="minorEastAsia" w:eastAsiaTheme="minorEastAsia"/>
          <w:sz w:val="24"/>
        </w:rPr>
        <w:t>随着空调环境的普及，冷风吹头成为比较普遍的问题。空调出风口的冷风温度比较低，如果没有好的散流器，低温的冷风与室内空气混合不够，吹到人身上的冷风温度会比较低，吹到人的皮肤上会很不舒适。有研究团队在研究冷风的送风方式，也有很多企业在研究散流效果好的散流器。为了实现较为舒适的空调环境，计算评估冷风的气流和吹到人体皮肤气流的温度是很重要的。一方面风速不要太大，另一方面温度不能太低。</w:t>
      </w:r>
    </w:p>
    <w:p w14:paraId="01BBA46F">
      <w:pPr>
        <w:spacing w:before="100" w:beforeAutospacing="1" w:after="100" w:afterAutospacing="1" w:line="312" w:lineRule="auto"/>
        <w:ind w:firstLine="480" w:firstLineChars="200"/>
        <w:rPr>
          <w:rFonts w:asciiTheme="minorEastAsia" w:hAnsiTheme="minorEastAsia" w:eastAsiaTheme="minorEastAsia"/>
          <w:b/>
          <w:bCs/>
          <w:sz w:val="24"/>
        </w:rPr>
      </w:pPr>
      <w:r>
        <w:rPr>
          <w:rFonts w:asciiTheme="minorEastAsia" w:hAnsiTheme="minorEastAsia" w:eastAsiaTheme="minorEastAsia"/>
          <w:sz w:val="24"/>
        </w:rPr>
        <w:t>虽然这项工作应该在空调的设计时去做，但很多工程中，散流器的选择和布置却是室内装修时设计和施工的。</w:t>
      </w:r>
    </w:p>
    <w:p w14:paraId="169FE289">
      <w:pPr>
        <w:spacing w:before="100" w:beforeAutospacing="1" w:after="100" w:afterAutospacing="1" w:line="312" w:lineRule="auto"/>
        <w:rPr>
          <w:rFonts w:asciiTheme="minorEastAsia" w:hAnsiTheme="minorEastAsia" w:eastAsiaTheme="minorEastAsia"/>
          <w:sz w:val="24"/>
        </w:rPr>
      </w:pPr>
      <w:r>
        <w:rPr>
          <w:rFonts w:asciiTheme="minorEastAsia" w:hAnsiTheme="minorEastAsia" w:eastAsiaTheme="minorEastAsia"/>
          <w:b/>
          <w:bCs/>
          <w:sz w:val="24"/>
        </w:rPr>
        <w:t>5.2.19</w:t>
      </w:r>
      <w:r>
        <w:rPr>
          <w:rFonts w:asciiTheme="minorEastAsia" w:hAnsiTheme="minorEastAsia" w:eastAsiaTheme="minorEastAsia"/>
          <w:sz w:val="24"/>
        </w:rPr>
        <w:t>本条旨在鼓励在室内装饰装修中融入现代光影技术，以创造有益于身心健康的视觉环境。随着科技发展，投影、显示屏等设备的应用日益广泛，为室内设计提供了更多可能性。传统照明设计主要满足功能性需求，而本条则更强调光影与室内环境的深度融合，使其成为营造氛围、调节情绪、促进健康的重要元素。研究表明，合理的光照和视觉环境对人的生理节律、心理状态乃至生产力都有显著影响。因此，将光影技术与室内装饰装修相结合，不仅能提升空间美感，更能改善居住者或使用者的身心健康。例如，通过播放视频可营造沉浸式氛围，模拟自然风光以达到治疗或养生效果；利用投影呈现可变图案，则能丰富室内空间，带来新颖的视觉体验。这种结合不仅美化环境，更能通过光影变化调节情绪，促进身心愉悦。</w:t>
      </w:r>
    </w:p>
    <w:p w14:paraId="0EC25BB2">
      <w:pPr>
        <w:spacing w:before="100" w:beforeAutospacing="1" w:after="100" w:afterAutospacing="1" w:line="312" w:lineRule="auto"/>
        <w:ind w:firstLine="480" w:firstLineChars="200"/>
        <w:rPr>
          <w:rFonts w:asciiTheme="minorEastAsia" w:hAnsiTheme="minorEastAsia" w:eastAsiaTheme="minorEastAsia"/>
          <w:sz w:val="24"/>
          <w:szCs w:val="24"/>
        </w:rPr>
      </w:pPr>
    </w:p>
    <w:p w14:paraId="497AA2DB">
      <w:pPr>
        <w:spacing w:before="100" w:beforeAutospacing="1" w:after="100" w:afterAutospacing="1" w:line="312" w:lineRule="auto"/>
        <w:ind w:firstLine="482" w:firstLineChars="200"/>
        <w:jc w:val="center"/>
        <w:outlineLvl w:val="1"/>
        <w:rPr>
          <w:rFonts w:asciiTheme="minorEastAsia" w:hAnsiTheme="minorEastAsia" w:eastAsiaTheme="minorEastAsia"/>
          <w:b/>
          <w:bCs/>
          <w:sz w:val="24"/>
          <w:szCs w:val="24"/>
        </w:rPr>
      </w:pPr>
      <w:bookmarkStart w:id="376" w:name="_Toc24831"/>
      <w:bookmarkStart w:id="377" w:name="_Toc15672"/>
      <w:bookmarkStart w:id="378" w:name="_Toc14893"/>
      <w:r>
        <w:rPr>
          <w:rFonts w:asciiTheme="minorEastAsia" w:hAnsiTheme="minorEastAsia" w:eastAsiaTheme="minorEastAsia"/>
          <w:b/>
          <w:bCs/>
          <w:sz w:val="24"/>
          <w:szCs w:val="24"/>
        </w:rPr>
        <w:t>5.3 建筑室内环控设备系统</w:t>
      </w:r>
      <w:bookmarkEnd w:id="376"/>
      <w:bookmarkEnd w:id="377"/>
      <w:bookmarkEnd w:id="378"/>
    </w:p>
    <w:p w14:paraId="00C69416">
      <w:pPr>
        <w:spacing w:before="100" w:beforeAutospacing="1" w:after="100" w:afterAutospacing="1" w:line="312" w:lineRule="auto"/>
        <w:rPr>
          <w:rFonts w:asciiTheme="minorEastAsia" w:hAnsiTheme="minorEastAsia" w:eastAsiaTheme="minorEastAsia"/>
          <w:sz w:val="24"/>
        </w:rPr>
      </w:pPr>
      <w:r>
        <w:rPr>
          <w:rFonts w:asciiTheme="minorEastAsia" w:hAnsiTheme="minorEastAsia" w:eastAsiaTheme="minorEastAsia"/>
          <w:b/>
          <w:bCs/>
          <w:sz w:val="24"/>
        </w:rPr>
        <w:t>5.3.2</w:t>
      </w:r>
      <w:r>
        <w:rPr>
          <w:rFonts w:asciiTheme="minorEastAsia" w:hAnsiTheme="minorEastAsia" w:eastAsiaTheme="minorEastAsia"/>
          <w:sz w:val="24"/>
        </w:rPr>
        <w:t>选择空调系统的总原则，是在满足使用要求的前提下，尽量做到一次投资少，运行费经济，能耗低等。空调室内设计参数应根据空调环境内人群的年龄段、性别等确定。青壮年为主的活动空间温度可以适当低一些、风速也可以适当大一些，而老年人、女士所在场所则温度不能太低、风速不能太高。部分场所也可以通过提高风速，升高温度，通过风速与温度的偶合作用获取舒适性，节约制冷能耗。</w:t>
      </w:r>
    </w:p>
    <w:p w14:paraId="5D2BD261">
      <w:pPr>
        <w:spacing w:before="100" w:beforeAutospacing="1" w:after="100" w:afterAutospacing="1" w:line="312"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大空间、超大空间，应采取变风量设计，该区域空调末端运行能耗较大，在室内设置温控器，可根据该服务场所实际情况，在满足平均水平前提下，实现室内温度动态调节，便于节能运行。</w:t>
      </w:r>
    </w:p>
    <w:p w14:paraId="7532AA87">
      <w:pPr>
        <w:spacing w:before="100" w:beforeAutospacing="1" w:after="100" w:afterAutospacing="1" w:line="312"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普通空间可采用水冷空调风机盘管末端，也可采用分体空调；小空间可采用分体空调，冬季可采用定向热辐射辅助供暖。自然通风下可以用风扇降温。</w:t>
      </w:r>
    </w:p>
    <w:p w14:paraId="33C4F9CD">
      <w:pPr>
        <w:spacing w:before="100" w:beforeAutospacing="1" w:after="100" w:afterAutospacing="1" w:line="312" w:lineRule="auto"/>
        <w:rPr>
          <w:rFonts w:asciiTheme="minorEastAsia" w:hAnsiTheme="minorEastAsia" w:eastAsiaTheme="minorEastAsia"/>
          <w:szCs w:val="21"/>
        </w:rPr>
      </w:pPr>
      <w:r>
        <w:rPr>
          <w:rFonts w:hint="eastAsia" w:asciiTheme="minorEastAsia" w:hAnsiTheme="minorEastAsia" w:eastAsiaTheme="minorEastAsia"/>
          <w:b/>
          <w:bCs/>
          <w:szCs w:val="21"/>
        </w:rPr>
        <w:t>5.3.3</w:t>
      </w:r>
      <w:r>
        <w:rPr>
          <w:rFonts w:asciiTheme="minorEastAsia" w:hAnsiTheme="minorEastAsia" w:eastAsiaTheme="minorEastAsia"/>
          <w:szCs w:val="21"/>
        </w:rPr>
        <w:t>靠近室外门口的过度空间不应与室外温度差别过大。如：与室外相通的门厅等人员短期逗留且靠近室外的过渡空间空调供冷工况室内设计温度应比长期逗留区域提高2~3℃。与室外相通短期逗留区域夏季温度突降条件下人体热反应的四大特性：（1）降温突变会带来“冷效应”；（2）突变环境下的热舒适状态具有相对性，相比稳态环境，人体能在更大的温度范围内获得舒适状态；（3）温度突降环境下人体热中性温度随着突变时间不断变化，往往高于稳态环境下的26℃；（4）冷热刺激的可接受度随突变温差的增大显著降低。基于以上夏季温度突降动态环境下的热舒适基本理论，结合暂留区域人员停留时间较短的特点，我们从满足人体热舒适、降低空调能耗、避免或降低温度突变带来的热冲击三个方面出发，适当提高短期逗留区域空调设计温度，利用温度突变的“冷效应”及动态冷刺激获取舒适感。</w:t>
      </w:r>
    </w:p>
    <w:p w14:paraId="26AFF196">
      <w:pPr>
        <w:spacing w:before="100" w:beforeAutospacing="1" w:after="100" w:afterAutospacing="1" w:line="312" w:lineRule="auto"/>
        <w:ind w:left="420" w:hanging="420" w:hangingChars="200"/>
        <w:rPr>
          <w:rFonts w:asciiTheme="minorEastAsia" w:hAnsiTheme="minorEastAsia" w:eastAsiaTheme="minorEastAsia"/>
          <w:szCs w:val="21"/>
        </w:rPr>
      </w:pPr>
      <w:r>
        <w:rPr>
          <w:rFonts w:asciiTheme="minorEastAsia" w:hAnsiTheme="minorEastAsia" w:eastAsiaTheme="minorEastAsia"/>
        </w:rPr>
        <w:drawing>
          <wp:inline distT="0" distB="0" distL="0" distR="0">
            <wp:extent cx="2428875" cy="1676400"/>
            <wp:effectExtent l="0" t="0" r="9525" b="0"/>
            <wp:docPr id="17" name="图片 9" descr="黑暗中有彩色的灯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黑暗中有彩色的灯光&#10;&#10;低可信度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28875" cy="1676400"/>
                    </a:xfrm>
                    <a:prstGeom prst="rect">
                      <a:avLst/>
                    </a:prstGeom>
                    <a:noFill/>
                    <a:ln>
                      <a:noFill/>
                    </a:ln>
                  </pic:spPr>
                </pic:pic>
              </a:graphicData>
            </a:graphic>
          </wp:inline>
        </w:drawing>
      </w:r>
      <w:r>
        <w:rPr>
          <w:rFonts w:asciiTheme="minorEastAsia" w:hAnsiTheme="minorEastAsia" w:eastAsiaTheme="minorEastAsia"/>
        </w:rPr>
        <w:t xml:space="preserve">   </w:t>
      </w:r>
      <w:r>
        <w:rPr>
          <w:rFonts w:asciiTheme="minorEastAsia" w:hAnsiTheme="minorEastAsia" w:eastAsiaTheme="minorEastAsia"/>
        </w:rPr>
        <w:drawing>
          <wp:inline distT="0" distB="0" distL="0" distR="0">
            <wp:extent cx="2524125" cy="1762125"/>
            <wp:effectExtent l="0" t="0" r="9525" b="9525"/>
            <wp:docPr id="18"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图表&#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24125" cy="1762125"/>
                    </a:xfrm>
                    <a:prstGeom prst="rect">
                      <a:avLst/>
                    </a:prstGeom>
                    <a:noFill/>
                    <a:ln>
                      <a:noFill/>
                    </a:ln>
                  </pic:spPr>
                </pic:pic>
              </a:graphicData>
            </a:graphic>
          </wp:inline>
        </w:drawing>
      </w:r>
      <w:r>
        <w:rPr>
          <w:rFonts w:asciiTheme="minorEastAsia" w:hAnsiTheme="minorEastAsia" w:eastAsiaTheme="minorEastAsia"/>
        </w:rPr>
        <w:t xml:space="preserve"> </w:t>
      </w:r>
      <w:r>
        <w:rPr>
          <w:rFonts w:asciiTheme="minorEastAsia" w:hAnsiTheme="minorEastAsia" w:eastAsiaTheme="minorEastAsia"/>
          <w:sz w:val="18"/>
          <w:szCs w:val="18"/>
        </w:rPr>
        <w:t>温度突变环境下整体热感觉随时间的变化曲线     温度突变环境下平均皮肤温度随时间的变化曲线</w:t>
      </w:r>
    </w:p>
    <w:p w14:paraId="46D3BF3D">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5.3.4</w:t>
      </w:r>
      <w:r>
        <w:rPr>
          <w:rFonts w:asciiTheme="minorEastAsia" w:hAnsiTheme="minorEastAsia" w:eastAsiaTheme="minorEastAsia"/>
          <w:sz w:val="24"/>
          <w:szCs w:val="24"/>
        </w:rPr>
        <w:t>空调系统末端装置的选择和布置时，应与建筑装修相协调，注意风口的选型与布置对内部装修美观的影响；同时应考虑室内空气质量、室内温度梯度等要求。涉及气流组织设计的舒适性指标，主要由气流组织形式、室内热源分布及特性所决定。气流直吹头部，较强的吹风感会使人皮肤干燥、并造成局部不舒适感。但对于人员长期停留区域，空调冷风不得以较高的风速（0.5m/s以上）直接吹到人身上。</w:t>
      </w:r>
    </w:p>
    <w:p w14:paraId="445C6665">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5.3.6</w:t>
      </w:r>
      <w:r>
        <w:rPr>
          <w:rFonts w:asciiTheme="minorEastAsia" w:hAnsiTheme="minorEastAsia" w:eastAsiaTheme="minorEastAsia"/>
          <w:sz w:val="24"/>
          <w:szCs w:val="24"/>
        </w:rPr>
        <w:t>开敞、半开敞空间，例如交通枢纽开敞空间、体育场馆观众平台等，可提高该区域的风速与空调温度，使其温度介于空调与非空调环境温度之间的范围。这些区域作为人员在空调与非空调环境之间的过渡区域，让人在冷热之间有一个适应的过程，更利于人的健康。广东地区过渡季较长，对于自然通风较好的建筑，增加风扇，可增加舒适度。</w:t>
      </w:r>
    </w:p>
    <w:p w14:paraId="27D1055D">
      <w:pPr>
        <w:spacing w:before="100" w:beforeAutospacing="1" w:after="100" w:afterAutospacing="1" w:line="312" w:lineRule="auto"/>
        <w:ind w:firstLine="480"/>
        <w:rPr>
          <w:rFonts w:asciiTheme="minorEastAsia" w:hAnsiTheme="minorEastAsia" w:eastAsiaTheme="minorEastAsia"/>
          <w:b/>
          <w:sz w:val="24"/>
        </w:rPr>
      </w:pPr>
      <w:r>
        <w:rPr>
          <w:rFonts w:asciiTheme="minorEastAsia" w:hAnsiTheme="minorEastAsia" w:eastAsiaTheme="minorEastAsia"/>
          <w:sz w:val="24"/>
          <w:szCs w:val="24"/>
        </w:rPr>
        <w:drawing>
          <wp:inline distT="0" distB="0" distL="0" distR="0">
            <wp:extent cx="2193290" cy="1567180"/>
            <wp:effectExtent l="0" t="0" r="16510" b="13970"/>
            <wp:docPr id="19" name="图片 1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图表, 折线图&#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93290" cy="1567180"/>
                    </a:xfrm>
                    <a:prstGeom prst="rect">
                      <a:avLst/>
                    </a:prstGeom>
                    <a:noFill/>
                    <a:ln>
                      <a:noFill/>
                    </a:ln>
                  </pic:spPr>
                </pic:pic>
              </a:graphicData>
            </a:graphic>
          </wp:inline>
        </w:drawing>
      </w:r>
      <w:r>
        <w:rPr>
          <w:rFonts w:asciiTheme="minorEastAsia" w:hAnsiTheme="minorEastAsia" w:eastAsiaTheme="minorEastAsia"/>
          <w:sz w:val="24"/>
          <w:szCs w:val="24"/>
        </w:rPr>
        <w:t xml:space="preserve">  </w:t>
      </w:r>
      <w:r>
        <w:rPr>
          <w:rFonts w:asciiTheme="minorEastAsia" w:hAnsiTheme="minorEastAsia" w:eastAsiaTheme="minorEastAsia"/>
          <w:sz w:val="24"/>
          <w:szCs w:val="24"/>
        </w:rPr>
        <w:drawing>
          <wp:inline distT="0" distB="0" distL="0" distR="0">
            <wp:extent cx="2085975" cy="1558925"/>
            <wp:effectExtent l="0" t="0" r="9525" b="3175"/>
            <wp:docPr id="20"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图表&#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85975" cy="1558925"/>
                    </a:xfrm>
                    <a:prstGeom prst="rect">
                      <a:avLst/>
                    </a:prstGeom>
                    <a:noFill/>
                    <a:ln>
                      <a:noFill/>
                    </a:ln>
                  </pic:spPr>
                </pic:pic>
              </a:graphicData>
            </a:graphic>
          </wp:inline>
        </w:drawing>
      </w:r>
    </w:p>
    <w:p w14:paraId="18C77E01">
      <w:pPr>
        <w:spacing w:before="100" w:beforeAutospacing="1" w:after="100" w:afterAutospacing="1" w:line="312" w:lineRule="auto"/>
        <w:rPr>
          <w:rFonts w:asciiTheme="minorEastAsia" w:hAnsiTheme="minorEastAsia" w:eastAsiaTheme="minorEastAsia"/>
          <w:b/>
          <w:bCs/>
          <w:sz w:val="24"/>
        </w:rPr>
      </w:pPr>
      <w:r>
        <w:rPr>
          <w:rFonts w:hint="eastAsia" w:asciiTheme="minorEastAsia" w:hAnsiTheme="minorEastAsia" w:eastAsiaTheme="minorEastAsia"/>
          <w:b/>
          <w:bCs/>
          <w:sz w:val="24"/>
          <w:szCs w:val="24"/>
        </w:rPr>
        <w:t>5.3.7</w:t>
      </w:r>
      <w:r>
        <w:rPr>
          <w:rFonts w:asciiTheme="minorEastAsia" w:hAnsiTheme="minorEastAsia" w:eastAsiaTheme="minorEastAsia"/>
          <w:sz w:val="24"/>
          <w:szCs w:val="24"/>
        </w:rPr>
        <w:t>为营造良好的室内空气品质，空调系统已普遍设计空气净化功能段。空气污染大、灰尘多的新风应该进行过滤，空气净化装置应结合当地的环境颗粒物浓度及污染源的品类性质来对其进行选型、设计，同时因为人们在建筑内呆的时间差别很大，考虑节能，宜选择能够智能化控制净化装置开启的节能运行方式。</w:t>
      </w:r>
    </w:p>
    <w:p w14:paraId="3839AF33">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5.3.8</w:t>
      </w:r>
      <w:r>
        <w:rPr>
          <w:rFonts w:asciiTheme="minorEastAsia" w:hAnsiTheme="minorEastAsia" w:eastAsiaTheme="minorEastAsia"/>
          <w:sz w:val="24"/>
          <w:szCs w:val="24"/>
        </w:rPr>
        <w:t>近些年随着电子净化装置的不断涌现市场，但该类产品同时存在诸多问题及潜在的危险。如静电除尘过滤器，若空气中有导电的碳，可能会导致电短路，降低过滤效率，且高压电离作用下不可避免产生臭氧，产品额定风量下的臭氧浓度增加量应符合GB21551.3的有关规定。</w:t>
      </w:r>
    </w:p>
    <w:p w14:paraId="18031245">
      <w:pPr>
        <w:spacing w:before="100" w:beforeAutospacing="1" w:after="100" w:afterAutospacing="1" w:line="312"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2018年1月ASHRAE技术委员会重申了ASHRAE理事会在2015年1月29日批准发布的“ASHRAE Position document on filtration and air cleaning”，在这份立场文件中仍强调:“以臭氧反应来净化空气的设备不能用在人活动的空间中，因为暴露在臭氧及其反应产物中有负面的健康影响。尤其要注意的是：使用一些虽然并不是使用臭氧净化空气但却会发生显著臭氧量(作为其副产品)的设备时，必须重视这些设备对健康造成潜在的风险”。因此，委员会对包括光催化、UV-C、 产生电场或离子的电子过滤器等容易产生臭氧的空气过滤净化器的应用持谨慎态度。因此，建议电子类空气过滤净化器在健康人群建筑中应当正确、谨慎地使用。</w:t>
      </w:r>
    </w:p>
    <w:p w14:paraId="48E09345">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5.3.9</w:t>
      </w:r>
      <w:r>
        <w:rPr>
          <w:rFonts w:asciiTheme="minorEastAsia" w:hAnsiTheme="minorEastAsia" w:eastAsiaTheme="minorEastAsia"/>
          <w:sz w:val="24"/>
          <w:szCs w:val="24"/>
        </w:rPr>
        <w:t>考虑新风主要满足人员最小新风量需求，当场所内人员密度随时间变化较大时，采用变新风量运行能有效减小新风运行能耗。</w:t>
      </w:r>
    </w:p>
    <w:p w14:paraId="6A7E8C5D">
      <w:pPr>
        <w:spacing w:before="100" w:beforeAutospacing="1" w:after="100" w:afterAutospacing="1" w:line="312"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考虑广东地区建筑内区常年供冷的需求较大，若建筑内区房间较多，过渡季节冷负荷较小，可采用变新风量设计，过渡季节可通过加大新风量运行，消除室内余热，减少以主机开启时间，节约运行能耗。</w:t>
      </w:r>
    </w:p>
    <w:p w14:paraId="13DBC4DF">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5.3.12</w:t>
      </w:r>
      <w:r>
        <w:rPr>
          <w:rFonts w:hint="eastAsia" w:asciiTheme="minorEastAsia" w:hAnsiTheme="minorEastAsia" w:eastAsiaTheme="minorEastAsia"/>
          <w:sz w:val="24"/>
          <w:szCs w:val="24"/>
        </w:rPr>
        <w:t>自然通风和机械通风下协同作用控制室内环境应根据控制目标设置控制必要的监测传感器和相应的系统切换启闭执行机构。通常的控制目标包括室内温湿度、室内空气质量、新风量供给等。所对应的监测传感器包括温湿度传感器及CO2、CO、PM2.5、PM10等。自然通风、机械通风系统应设置切换启闭的执行机构，依据传感器监测值进行控制，可以作为楼宇自控系统(BAS) 的一部分。</w:t>
      </w:r>
    </w:p>
    <w:p w14:paraId="711C66DE">
      <w:pPr>
        <w:spacing w:before="100" w:beforeAutospacing="1" w:after="100" w:afterAutospacing="1" w:line="312"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超大空间、大空间等场所可由控制策略实现自然通风与机械通风之间的切换。比如：在过渡时间启用自然通风，冬夏季则启用机械通风；或者在白天开启机械通风而夜晚开启自然通风。</w:t>
      </w:r>
    </w:p>
    <w:p w14:paraId="69A333E7">
      <w:pPr>
        <w:spacing w:before="100" w:beforeAutospacing="1" w:after="100" w:afterAutospacing="1" w:line="312" w:lineRule="auto"/>
        <w:ind w:firstLine="480"/>
        <w:rPr>
          <w:rFonts w:asciiTheme="minorEastAsia" w:hAnsiTheme="minorEastAsia" w:eastAsiaTheme="minorEastAsia"/>
          <w:b/>
          <w:bCs/>
          <w:sz w:val="24"/>
        </w:rPr>
      </w:pPr>
      <w:r>
        <w:rPr>
          <w:rFonts w:hint="eastAsia" w:asciiTheme="minorEastAsia" w:hAnsiTheme="minorEastAsia" w:eastAsiaTheme="minorEastAsia"/>
          <w:sz w:val="24"/>
          <w:szCs w:val="24"/>
        </w:rPr>
        <w:t>普通空间可根据人员活动区域感知智能调控通风系统的开启实现区域控制。</w:t>
      </w:r>
    </w:p>
    <w:p w14:paraId="350B1C6E">
      <w:pPr>
        <w:spacing w:before="100" w:beforeAutospacing="1" w:after="100" w:afterAutospacing="1" w:line="312" w:lineRule="auto"/>
        <w:rPr>
          <w:rFonts w:asciiTheme="minorEastAsia" w:hAnsiTheme="minorEastAsia" w:eastAsiaTheme="minorEastAsia"/>
          <w:b/>
          <w:bCs/>
          <w:sz w:val="24"/>
        </w:rPr>
      </w:pPr>
      <w:r>
        <w:rPr>
          <w:rFonts w:hint="eastAsia" w:asciiTheme="minorEastAsia" w:hAnsiTheme="minorEastAsia" w:eastAsiaTheme="minorEastAsia"/>
          <w:b/>
          <w:bCs/>
          <w:sz w:val="24"/>
          <w:szCs w:val="24"/>
        </w:rPr>
        <w:t>5.3.13</w:t>
      </w:r>
      <w:r>
        <w:rPr>
          <w:rFonts w:hint="eastAsia" w:asciiTheme="minorEastAsia" w:hAnsiTheme="minorEastAsia" w:eastAsiaTheme="minorEastAsia"/>
          <w:sz w:val="24"/>
          <w:szCs w:val="24"/>
        </w:rPr>
        <w:t>建筑室内门厅、大型会议室，多功能厅等人员密集或大空间场所，为便于建筑智能化控制，安装室内空气质量监测装置，既保证了室内空气质量，也起到节能的作用。</w:t>
      </w:r>
    </w:p>
    <w:p w14:paraId="064E76F0">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5.3.15</w:t>
      </w:r>
      <w:r>
        <w:rPr>
          <w:rFonts w:asciiTheme="minorEastAsia" w:hAnsiTheme="minorEastAsia" w:eastAsiaTheme="minorEastAsia"/>
          <w:sz w:val="24"/>
          <w:szCs w:val="24"/>
        </w:rPr>
        <w:t>空调通风系统的消声设计，对于全空气系统首先应控制空调机组的容量，选择低噪声设备，在机房进出口合理设置消声器。风速宜采用较低值，减少气流再生噪声。空调室内需要关注的不仅仅局限于送风口，还应重视回风口、排风口以及室内排气扇等的噪声。对于建筑室内最常见的小型末端设备（风机盘管或多联式室内机）加新风的系统形式，这类空调末端设备常采用吊装方式，因空调末端设备容量小、数量大或空间有限，一般不设消声设施。因此末端设备的选择应重视每台设备的噪声值，控制单台设备容量，并选择低噪声产品。</w:t>
      </w:r>
    </w:p>
    <w:p w14:paraId="0B3599E6">
      <w:pPr>
        <w:spacing w:before="100" w:beforeAutospacing="1" w:after="100" w:afterAutospacing="1" w:line="312" w:lineRule="auto"/>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5.3.16</w:t>
      </w:r>
    </w:p>
    <w:p w14:paraId="225DD5B0">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 冷源设备与噪声敏感房间之间，可以在平面布置时，根据情况设置对噪声控制要求较低的区域进行缓冲过渡。比如卫生间、走道等。</w:t>
      </w:r>
    </w:p>
    <w:p w14:paraId="04DB7F35">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 集中空调系统的冷源设备机房多设置于地下室的等远离空调房间的位置。但随着空调系统形式的多样化，很多冷源设备直接设置于屋顶或各个楼层。例如多联式空调系统是近年来办公建筑空调系统较为常见的系统型式，其优点是系统相对较小，使用灵活。但因为室外机与空调房间比较近，室外机的噪声不仅考虑对室内空调房间的影响，还要考虑对周边建筑的影响。目前已有因多联机室外机噪声过大，周边用户投诉的个案。因此在空调室外机的选择设计时，应根据工程情况合理控制设备容量、合理选择摆放位置，减少室外机噪声对相邻建筑的噪声影响。</w:t>
      </w:r>
    </w:p>
    <w:p w14:paraId="73ABC58E">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 空调冷热源机房、水泵房等设备机房内设备运行时会产生噪声，当其靠近噪声敏感房间时，噪声可通过水管、建筑构件等传至噪声敏感房间，也可通过空气传播经围护结构传入敏感房间。因此机房内设备基础应采取有效的隔振措施，管道支吊架与楼板、梁、柱的连接应采取减振措施。空调水管在穿越机房外墙处应设置弹性软接头。管道穿越机房的洞口应密封。当设备噪声过大时，还应根据情况在机房内表面进行吸声处理。</w:t>
      </w:r>
    </w:p>
    <w:p w14:paraId="1FC6C65C">
      <w:pPr>
        <w:spacing w:before="100" w:beforeAutospacing="1" w:after="100" w:afterAutospacing="1" w:line="312"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 在高层、超高层建筑中，设置于中间楼层的设备机房内，设备的振动对下层噪声敏感房间影响较大，在设计时与土建专业配合，设置浮筑楼板，其对隔声减振较为有利。冷却塔及空调室外机设置于屋顶，可根据设备噪声情况参考执行。</w:t>
      </w:r>
    </w:p>
    <w:p w14:paraId="27B46EF2">
      <w:pPr>
        <w:spacing w:before="100" w:beforeAutospacing="1" w:after="100" w:afterAutospacing="1" w:line="312" w:lineRule="auto"/>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5.3.18</w:t>
      </w:r>
      <w:r>
        <w:rPr>
          <w:rFonts w:asciiTheme="minorEastAsia" w:hAnsiTheme="minorEastAsia" w:eastAsiaTheme="minorEastAsia"/>
          <w:sz w:val="24"/>
          <w:szCs w:val="24"/>
        </w:rPr>
        <w:t>建筑人工照明控制系统宜根据室外天然光照度变化进行自动调节，调节后的天然采光和人工照明的总照度不应低于各采光等级所规定的室内天然光照度值。</w:t>
      </w:r>
    </w:p>
    <w:p w14:paraId="5011043E">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5.3.23</w:t>
      </w:r>
      <w:r>
        <w:rPr>
          <w:rFonts w:hint="eastAsia" w:asciiTheme="minorEastAsia" w:hAnsiTheme="minorEastAsia" w:eastAsiaTheme="minorEastAsia"/>
          <w:sz w:val="24"/>
          <w:szCs w:val="24"/>
        </w:rPr>
        <w:t>建筑空间内门窗、遮阳、通风空调系统等通过配置独立的智能处理节点，构成一个智能空间单元，实现建筑构件控制与设备联动控制。如在潮湿天气下，通过实时监测，可以关闭门窗，控制室内湿度；通过室内温度监测自动开启空调设备等；通过人员探测器监测，自动开关空调设备。</w:t>
      </w:r>
    </w:p>
    <w:p w14:paraId="37DC9F8E">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从属设备指设置于建筑空间单元内仅与该建筑空间单元的使用功能相关的设备。常见的建筑空间单元及其从属设备类型见下表。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6096"/>
        <w:gridCol w:w="1184"/>
      </w:tblGrid>
      <w:tr w14:paraId="6B2A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vAlign w:val="center"/>
          </w:tcPr>
          <w:p w14:paraId="25E1ED0B">
            <w:pPr>
              <w:spacing w:before="100" w:beforeAutospacing="1" w:after="100" w:afterAutospacing="1" w:line="312" w:lineRule="auto"/>
              <w:jc w:val="center"/>
              <w:rPr>
                <w:rFonts w:asciiTheme="minorEastAsia" w:hAnsiTheme="minorEastAsia" w:eastAsiaTheme="minorEastAsia"/>
                <w:szCs w:val="21"/>
              </w:rPr>
            </w:pPr>
            <w:r>
              <w:rPr>
                <w:rFonts w:hint="eastAsia" w:asciiTheme="minorEastAsia" w:hAnsiTheme="minorEastAsia" w:eastAsiaTheme="minorEastAsia"/>
              </w:rPr>
              <w:t>空间类型</w:t>
            </w:r>
          </w:p>
        </w:tc>
        <w:tc>
          <w:tcPr>
            <w:tcW w:w="6096" w:type="dxa"/>
            <w:tcBorders>
              <w:top w:val="single" w:color="auto" w:sz="4" w:space="0"/>
              <w:left w:val="single" w:color="auto" w:sz="4" w:space="0"/>
              <w:bottom w:val="single" w:color="auto" w:sz="4" w:space="0"/>
              <w:right w:val="single" w:color="auto" w:sz="4" w:space="0"/>
            </w:tcBorders>
          </w:tcPr>
          <w:p w14:paraId="674F8C65">
            <w:pPr>
              <w:spacing w:before="100" w:beforeAutospacing="1" w:after="100" w:afterAutospacing="1" w:line="312" w:lineRule="auto"/>
              <w:jc w:val="center"/>
              <w:rPr>
                <w:rFonts w:asciiTheme="minorEastAsia" w:hAnsiTheme="minorEastAsia" w:eastAsiaTheme="minorEastAsia"/>
              </w:rPr>
            </w:pPr>
            <w:r>
              <w:rPr>
                <w:rFonts w:hint="eastAsia" w:asciiTheme="minorEastAsia" w:hAnsiTheme="minorEastAsia" w:eastAsiaTheme="minorEastAsia"/>
              </w:rPr>
              <w:t>从属设备类型</w:t>
            </w:r>
          </w:p>
        </w:tc>
        <w:tc>
          <w:tcPr>
            <w:tcW w:w="1184" w:type="dxa"/>
            <w:tcBorders>
              <w:top w:val="single" w:color="auto" w:sz="4" w:space="0"/>
              <w:left w:val="single" w:color="auto" w:sz="4" w:space="0"/>
              <w:bottom w:val="single" w:color="auto" w:sz="4" w:space="0"/>
              <w:right w:val="single" w:color="auto" w:sz="4" w:space="0"/>
            </w:tcBorders>
          </w:tcPr>
          <w:p w14:paraId="71C9F0E1">
            <w:pPr>
              <w:spacing w:before="100" w:beforeAutospacing="1" w:after="100" w:afterAutospacing="1" w:line="312" w:lineRule="auto"/>
              <w:jc w:val="center"/>
              <w:rPr>
                <w:rFonts w:asciiTheme="minorEastAsia" w:hAnsiTheme="minorEastAsia" w:eastAsiaTheme="minorEastAsia"/>
              </w:rPr>
            </w:pPr>
            <w:r>
              <w:rPr>
                <w:rFonts w:hint="eastAsia" w:asciiTheme="minorEastAsia" w:hAnsiTheme="minorEastAsia" w:eastAsiaTheme="minorEastAsia"/>
              </w:rPr>
              <w:t>备注</w:t>
            </w:r>
          </w:p>
        </w:tc>
      </w:tr>
      <w:tr w14:paraId="6052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vAlign w:val="center"/>
          </w:tcPr>
          <w:p w14:paraId="67086632">
            <w:pPr>
              <w:spacing w:before="100" w:beforeAutospacing="1" w:after="100" w:afterAutospacing="1" w:line="312" w:lineRule="auto"/>
              <w:jc w:val="center"/>
              <w:rPr>
                <w:rFonts w:asciiTheme="minorEastAsia" w:hAnsiTheme="minorEastAsia" w:eastAsiaTheme="minorEastAsia"/>
              </w:rPr>
            </w:pPr>
            <w:r>
              <w:rPr>
                <w:rFonts w:hint="eastAsia" w:asciiTheme="minorEastAsia" w:hAnsiTheme="minorEastAsia" w:eastAsiaTheme="minorEastAsia"/>
              </w:rPr>
              <w:t>房间空间</w:t>
            </w:r>
          </w:p>
        </w:tc>
        <w:tc>
          <w:tcPr>
            <w:tcW w:w="6096" w:type="dxa"/>
            <w:tcBorders>
              <w:top w:val="single" w:color="auto" w:sz="4" w:space="0"/>
              <w:left w:val="single" w:color="auto" w:sz="4" w:space="0"/>
              <w:bottom w:val="single" w:color="auto" w:sz="4" w:space="0"/>
              <w:right w:val="single" w:color="auto" w:sz="4" w:space="0"/>
            </w:tcBorders>
          </w:tcPr>
          <w:p w14:paraId="4845681A">
            <w:pPr>
              <w:spacing w:before="100" w:beforeAutospacing="1" w:after="100" w:afterAutospacing="1" w:line="312" w:lineRule="auto"/>
              <w:jc w:val="left"/>
              <w:rPr>
                <w:rFonts w:asciiTheme="minorEastAsia" w:hAnsiTheme="minorEastAsia" w:eastAsiaTheme="minorEastAsia"/>
              </w:rPr>
            </w:pPr>
            <w:r>
              <w:rPr>
                <w:rFonts w:hint="eastAsia" w:asciiTheme="minorEastAsia" w:hAnsiTheme="minorEastAsia" w:eastAsiaTheme="minorEastAsia"/>
              </w:rPr>
              <w:t>风机盘管、空调器、多联机室内机、分体空调、空气净化装置、辐射末端、送/排风机、电动风阀、电动水阀、变风量箱、热风幕等；</w:t>
            </w:r>
          </w:p>
          <w:p w14:paraId="29B7826A">
            <w:pPr>
              <w:spacing w:before="100" w:beforeAutospacing="1" w:after="100" w:afterAutospacing="1" w:line="312" w:lineRule="auto"/>
              <w:jc w:val="left"/>
              <w:rPr>
                <w:rFonts w:asciiTheme="minorEastAsia" w:hAnsiTheme="minorEastAsia" w:eastAsiaTheme="minorEastAsia"/>
              </w:rPr>
            </w:pPr>
            <w:r>
              <w:rPr>
                <w:rFonts w:hint="eastAsia" w:asciiTheme="minorEastAsia" w:hAnsiTheme="minorEastAsia" w:eastAsiaTheme="minorEastAsia"/>
              </w:rPr>
              <w:t>电动门、电动窗、电动遮阳、电气插座、照明灯具、出入口闸机、摄像机、出入口控制器等；</w:t>
            </w:r>
          </w:p>
          <w:p w14:paraId="0012F59A">
            <w:pPr>
              <w:spacing w:before="100" w:beforeAutospacing="1" w:after="100" w:afterAutospacing="1" w:line="312" w:lineRule="auto"/>
              <w:jc w:val="left"/>
              <w:rPr>
                <w:rFonts w:asciiTheme="minorEastAsia" w:hAnsiTheme="minorEastAsia" w:eastAsiaTheme="minorEastAsia"/>
              </w:rPr>
            </w:pPr>
            <w:r>
              <w:rPr>
                <w:rFonts w:hint="eastAsia" w:asciiTheme="minorEastAsia" w:hAnsiTheme="minorEastAsia" w:eastAsiaTheme="minorEastAsia"/>
              </w:rPr>
              <w:t>火灾探测器、消火栓等；</w:t>
            </w:r>
          </w:p>
          <w:p w14:paraId="7264C74B">
            <w:pPr>
              <w:spacing w:before="100" w:beforeAutospacing="1" w:after="100" w:afterAutospacing="1" w:line="312" w:lineRule="auto"/>
              <w:jc w:val="left"/>
              <w:rPr>
                <w:rFonts w:asciiTheme="minorEastAsia" w:hAnsiTheme="minorEastAsia" w:eastAsiaTheme="minorEastAsia"/>
              </w:rPr>
            </w:pPr>
            <w:r>
              <w:rPr>
                <w:rFonts w:hint="eastAsia" w:asciiTheme="minorEastAsia" w:hAnsiTheme="minorEastAsia" w:eastAsiaTheme="minorEastAsia"/>
              </w:rPr>
              <w:t>环境及人员探测器；</w:t>
            </w:r>
          </w:p>
          <w:p w14:paraId="1F3E8ADA">
            <w:pPr>
              <w:spacing w:before="100" w:beforeAutospacing="1" w:after="100" w:afterAutospacing="1" w:line="312" w:lineRule="auto"/>
              <w:jc w:val="left"/>
              <w:rPr>
                <w:rFonts w:asciiTheme="minorEastAsia" w:hAnsiTheme="minorEastAsia" w:eastAsiaTheme="minorEastAsia"/>
              </w:rPr>
            </w:pPr>
            <w:r>
              <w:rPr>
                <w:rFonts w:hint="eastAsia" w:asciiTheme="minorEastAsia" w:hAnsiTheme="minorEastAsia" w:eastAsiaTheme="minorEastAsia"/>
              </w:rPr>
              <w:t>电声系统、音乐系统。</w:t>
            </w:r>
          </w:p>
        </w:tc>
        <w:tc>
          <w:tcPr>
            <w:tcW w:w="1184" w:type="dxa"/>
            <w:vMerge w:val="restart"/>
            <w:tcBorders>
              <w:top w:val="nil"/>
              <w:left w:val="single" w:color="auto" w:sz="4" w:space="0"/>
              <w:bottom w:val="single" w:color="auto" w:sz="4" w:space="0"/>
              <w:right w:val="single" w:color="auto" w:sz="4" w:space="0"/>
            </w:tcBorders>
            <w:vAlign w:val="center"/>
          </w:tcPr>
          <w:p w14:paraId="3D617F06">
            <w:pPr>
              <w:spacing w:before="100" w:beforeAutospacing="1" w:after="100" w:afterAutospacing="1" w:line="312" w:lineRule="auto"/>
              <w:jc w:val="center"/>
              <w:rPr>
                <w:rFonts w:asciiTheme="minorEastAsia" w:hAnsiTheme="minorEastAsia" w:eastAsiaTheme="minorEastAsia"/>
              </w:rPr>
            </w:pPr>
            <w:r>
              <w:rPr>
                <w:rFonts w:hint="eastAsia" w:asciiTheme="minorEastAsia" w:hAnsiTheme="minorEastAsia" w:eastAsiaTheme="minorEastAsia"/>
              </w:rPr>
              <w:t>从属设备种类可根据需求选定。</w:t>
            </w:r>
          </w:p>
        </w:tc>
      </w:tr>
      <w:tr w14:paraId="4AA0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vAlign w:val="center"/>
          </w:tcPr>
          <w:p w14:paraId="65A87653">
            <w:pPr>
              <w:spacing w:before="100" w:beforeAutospacing="1" w:after="100" w:afterAutospacing="1" w:line="312" w:lineRule="auto"/>
              <w:jc w:val="center"/>
              <w:rPr>
                <w:rFonts w:asciiTheme="minorEastAsia" w:hAnsiTheme="minorEastAsia" w:eastAsiaTheme="minorEastAsia"/>
              </w:rPr>
            </w:pPr>
            <w:r>
              <w:rPr>
                <w:rFonts w:hint="eastAsia" w:asciiTheme="minorEastAsia" w:hAnsiTheme="minorEastAsia" w:eastAsiaTheme="minorEastAsia"/>
              </w:rPr>
              <w:t>连廊空间</w:t>
            </w:r>
          </w:p>
        </w:tc>
        <w:tc>
          <w:tcPr>
            <w:tcW w:w="6096" w:type="dxa"/>
            <w:tcBorders>
              <w:top w:val="single" w:color="auto" w:sz="4" w:space="0"/>
              <w:left w:val="single" w:color="auto" w:sz="4" w:space="0"/>
              <w:bottom w:val="single" w:color="auto" w:sz="4" w:space="0"/>
              <w:right w:val="single" w:color="auto" w:sz="4" w:space="0"/>
            </w:tcBorders>
          </w:tcPr>
          <w:p w14:paraId="0AD03A81">
            <w:pPr>
              <w:spacing w:before="100" w:beforeAutospacing="1" w:after="100" w:afterAutospacing="1" w:line="312" w:lineRule="auto"/>
              <w:rPr>
                <w:rFonts w:asciiTheme="minorEastAsia" w:hAnsiTheme="minorEastAsia" w:eastAsiaTheme="minorEastAsia"/>
              </w:rPr>
            </w:pPr>
            <w:r>
              <w:rPr>
                <w:rFonts w:hint="eastAsia" w:asciiTheme="minorEastAsia" w:hAnsiTheme="minorEastAsia" w:eastAsiaTheme="minorEastAsia"/>
              </w:rPr>
              <w:t>电动窗、电动遮阳等；</w:t>
            </w:r>
          </w:p>
          <w:p w14:paraId="71610D00">
            <w:pPr>
              <w:spacing w:before="100" w:beforeAutospacing="1" w:after="100" w:afterAutospacing="1" w:line="312" w:lineRule="auto"/>
              <w:rPr>
                <w:rFonts w:asciiTheme="minorEastAsia" w:hAnsiTheme="minorEastAsia" w:eastAsiaTheme="minorEastAsia"/>
              </w:rPr>
            </w:pPr>
            <w:r>
              <w:rPr>
                <w:rFonts w:hint="eastAsia" w:asciiTheme="minorEastAsia" w:hAnsiTheme="minorEastAsia" w:eastAsiaTheme="minorEastAsia"/>
              </w:rPr>
              <w:t>电气插座、照明灯具等；</w:t>
            </w:r>
          </w:p>
          <w:p w14:paraId="333CA44C">
            <w:pPr>
              <w:spacing w:before="100" w:beforeAutospacing="1" w:after="100" w:afterAutospacing="1" w:line="312" w:lineRule="auto"/>
              <w:jc w:val="left"/>
              <w:rPr>
                <w:rFonts w:asciiTheme="minorEastAsia" w:hAnsiTheme="minorEastAsia" w:eastAsiaTheme="minorEastAsia"/>
              </w:rPr>
            </w:pPr>
            <w:r>
              <w:rPr>
                <w:rFonts w:hint="eastAsia" w:asciiTheme="minorEastAsia" w:hAnsiTheme="minorEastAsia" w:eastAsiaTheme="minorEastAsia"/>
              </w:rPr>
              <w:t>风机盘管、空调器、多联机室内机、空气净化装置、送排风机、电动风阀、电动水阀、变风量箱、热风幕等；</w:t>
            </w:r>
          </w:p>
          <w:p w14:paraId="3877D5A5">
            <w:pPr>
              <w:spacing w:before="100" w:beforeAutospacing="1" w:after="100" w:afterAutospacing="1" w:line="312" w:lineRule="auto"/>
              <w:jc w:val="left"/>
              <w:rPr>
                <w:rFonts w:asciiTheme="minorEastAsia" w:hAnsiTheme="minorEastAsia" w:eastAsiaTheme="minorEastAsia"/>
              </w:rPr>
            </w:pPr>
            <w:r>
              <w:rPr>
                <w:rFonts w:hint="eastAsia" w:asciiTheme="minorEastAsia" w:hAnsiTheme="minorEastAsia" w:eastAsiaTheme="minorEastAsia"/>
              </w:rPr>
              <w:t>火灾探测器、消火栓等；</w:t>
            </w:r>
          </w:p>
          <w:p w14:paraId="684BF334">
            <w:pPr>
              <w:spacing w:before="100" w:beforeAutospacing="1" w:after="100" w:afterAutospacing="1" w:line="312" w:lineRule="auto"/>
              <w:jc w:val="left"/>
              <w:rPr>
                <w:rFonts w:asciiTheme="minorEastAsia" w:hAnsiTheme="minorEastAsia" w:eastAsiaTheme="minorEastAsia"/>
              </w:rPr>
            </w:pPr>
            <w:r>
              <w:rPr>
                <w:rFonts w:hint="eastAsia" w:asciiTheme="minorEastAsia" w:hAnsiTheme="minorEastAsia" w:eastAsiaTheme="minorEastAsia"/>
              </w:rPr>
              <w:t>电声系统、音乐系统。</w:t>
            </w:r>
          </w:p>
        </w:tc>
        <w:tc>
          <w:tcPr>
            <w:tcW w:w="1184" w:type="dxa"/>
            <w:vMerge w:val="continue"/>
            <w:tcBorders>
              <w:top w:val="nil"/>
              <w:left w:val="single" w:color="auto" w:sz="4" w:space="0"/>
              <w:bottom w:val="single" w:color="auto" w:sz="4" w:space="0"/>
              <w:right w:val="single" w:color="auto" w:sz="4" w:space="0"/>
            </w:tcBorders>
            <w:vAlign w:val="center"/>
          </w:tcPr>
          <w:p w14:paraId="44BE110B">
            <w:pPr>
              <w:spacing w:before="100" w:beforeAutospacing="1" w:after="100" w:afterAutospacing="1" w:line="312" w:lineRule="auto"/>
              <w:rPr>
                <w:rFonts w:asciiTheme="minorEastAsia" w:hAnsiTheme="minorEastAsia" w:eastAsiaTheme="minorEastAsia"/>
                <w:szCs w:val="21"/>
              </w:rPr>
            </w:pPr>
          </w:p>
        </w:tc>
      </w:tr>
    </w:tbl>
    <w:p w14:paraId="127AAF40">
      <w:pPr>
        <w:spacing w:before="100" w:beforeAutospacing="1" w:after="100" w:afterAutospacing="1" w:line="312" w:lineRule="auto"/>
        <w:rPr>
          <w:rFonts w:asciiTheme="minorEastAsia" w:hAnsiTheme="minorEastAsia" w:eastAsiaTheme="minorEastAsia"/>
          <w:sz w:val="24"/>
          <w:szCs w:val="24"/>
        </w:rPr>
      </w:pPr>
      <w:r>
        <w:rPr>
          <w:rFonts w:asciiTheme="minorEastAsia" w:hAnsiTheme="minorEastAsia" w:eastAsiaTheme="minorEastAsia"/>
          <w:sz w:val="24"/>
          <w:szCs w:val="24"/>
        </w:rPr>
        <w:br w:type="page"/>
      </w:r>
    </w:p>
    <w:p w14:paraId="07A1F33C">
      <w:pPr>
        <w:spacing w:before="100" w:beforeAutospacing="1" w:after="100" w:afterAutospacing="1" w:line="312" w:lineRule="auto"/>
        <w:jc w:val="center"/>
        <w:outlineLvl w:val="0"/>
        <w:rPr>
          <w:rFonts w:asciiTheme="minorEastAsia" w:hAnsiTheme="minorEastAsia" w:eastAsiaTheme="minorEastAsia"/>
          <w:b/>
          <w:bCs/>
          <w:sz w:val="28"/>
          <w:szCs w:val="28"/>
        </w:rPr>
      </w:pPr>
      <w:bookmarkStart w:id="379" w:name="_Toc15036"/>
      <w:bookmarkStart w:id="380" w:name="_Toc26001"/>
      <w:bookmarkStart w:id="381" w:name="_Toc2342"/>
      <w:r>
        <w:rPr>
          <w:rFonts w:asciiTheme="minorEastAsia" w:hAnsiTheme="minorEastAsia" w:eastAsiaTheme="minorEastAsia"/>
          <w:b/>
          <w:bCs/>
          <w:sz w:val="28"/>
          <w:szCs w:val="28"/>
        </w:rPr>
        <w:t>6 运行维护</w:t>
      </w:r>
      <w:bookmarkEnd w:id="379"/>
      <w:bookmarkEnd w:id="380"/>
      <w:bookmarkEnd w:id="381"/>
    </w:p>
    <w:p w14:paraId="6AFCF520">
      <w:pPr>
        <w:spacing w:before="100" w:beforeAutospacing="1" w:after="100" w:afterAutospacing="1" w:line="312" w:lineRule="auto"/>
        <w:jc w:val="center"/>
        <w:outlineLvl w:val="1"/>
        <w:rPr>
          <w:rFonts w:asciiTheme="minorEastAsia" w:hAnsiTheme="minorEastAsia" w:eastAsiaTheme="minorEastAsia"/>
          <w:b/>
          <w:bCs/>
          <w:sz w:val="24"/>
          <w:szCs w:val="24"/>
        </w:rPr>
      </w:pPr>
      <w:bookmarkStart w:id="382" w:name="_Toc23185"/>
      <w:bookmarkStart w:id="383" w:name="_Toc28943"/>
      <w:bookmarkStart w:id="384" w:name="_Toc2311"/>
      <w:r>
        <w:rPr>
          <w:rFonts w:asciiTheme="minorEastAsia" w:hAnsiTheme="minorEastAsia" w:eastAsiaTheme="minorEastAsia"/>
          <w:b/>
          <w:bCs/>
          <w:sz w:val="24"/>
          <w:szCs w:val="24"/>
        </w:rPr>
        <w:t>6.1 一般规定</w:t>
      </w:r>
      <w:bookmarkEnd w:id="382"/>
      <w:bookmarkEnd w:id="383"/>
      <w:bookmarkEnd w:id="384"/>
    </w:p>
    <w:p w14:paraId="0554AC8A">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6.1.1</w:t>
      </w:r>
      <w:r>
        <w:rPr>
          <w:rFonts w:hint="eastAsia" w:asciiTheme="minorEastAsia" w:hAnsiTheme="minorEastAsia" w:eastAsiaTheme="minorEastAsia"/>
          <w:sz w:val="24"/>
          <w:szCs w:val="24"/>
        </w:rPr>
        <w:t>制定提升室内环境舒适、健康、安全的运行手册，手册包括日常操作与定期维护的操作规程、工作指南、应急预案，放置、悬挂或张贴在各个操作现场的明显处，并按照运行手册运行。当建筑引入新的设备时，需对运维手册进行更新。运行手册至少包括如下内容：系统信息、管理、责任与执行主体、操作流程步骤、操作周期与频次、效果评估、激励机制等。在运维期间，需做好上述操作的归档与记录。</w:t>
      </w:r>
    </w:p>
    <w:p w14:paraId="1C6BCA6E">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需要制定手册的系统包括但不限于如下:</w:t>
      </w:r>
    </w:p>
    <w:p w14:paraId="6E419C73">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（1）机电系统包括但不限于：暖通空调系统、照明系统、外遮阳系统、室内环境监控系统、自动或手动控制系统、安防系统、消防系统等；</w:t>
      </w:r>
    </w:p>
    <w:p w14:paraId="661BD459">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（2）建筑材料包括但不限于：建筑围护结构、建筑室内装饰装修材料、室内家具设施等；</w:t>
      </w:r>
    </w:p>
    <w:p w14:paraId="54AE3BD0">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（3）清洁卫生与采购包括但不限于：清洁卫生、室内防潮防霉与害虫消杀、日常及运维物品采购等；</w:t>
      </w:r>
    </w:p>
    <w:p w14:paraId="3B398077">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sz w:val="24"/>
          <w:szCs w:val="24"/>
        </w:rPr>
        <w:t>（4）安全系统包括但不限于标识系统、消防系统等。</w:t>
      </w:r>
    </w:p>
    <w:p w14:paraId="28023045">
      <w:pPr>
        <w:spacing w:before="100" w:beforeAutospacing="1" w:after="100" w:afterAutospacing="1" w:line="312" w:lineRule="auto"/>
        <w:ind w:firstLine="480" w:firstLineChars="200"/>
        <w:rPr>
          <w:rFonts w:asciiTheme="minorEastAsia" w:hAnsiTheme="minorEastAsia" w:eastAsiaTheme="minorEastAsia"/>
          <w:sz w:val="24"/>
          <w:szCs w:val="24"/>
        </w:rPr>
      </w:pPr>
    </w:p>
    <w:p w14:paraId="77029523">
      <w:pPr>
        <w:spacing w:before="100" w:beforeAutospacing="1" w:after="100" w:afterAutospacing="1" w:line="312" w:lineRule="auto"/>
        <w:jc w:val="center"/>
        <w:rPr>
          <w:rFonts w:asciiTheme="minorEastAsia" w:hAnsiTheme="minorEastAsia" w:eastAsiaTheme="minorEastAsia"/>
          <w:sz w:val="24"/>
          <w:szCs w:val="24"/>
        </w:rPr>
      </w:pPr>
      <w:r>
        <w:rPr>
          <w:rFonts w:asciiTheme="minorEastAsia" w:hAnsiTheme="minorEastAsia" w:eastAsiaTheme="minorEastAsia"/>
          <w:b/>
          <w:bCs/>
          <w:sz w:val="24"/>
          <w:szCs w:val="24"/>
        </w:rPr>
        <w:t>6.2 物理环境维护</w:t>
      </w:r>
    </w:p>
    <w:p w14:paraId="39206A42">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6.2.1</w:t>
      </w:r>
      <w:r>
        <w:rPr>
          <w:rFonts w:hint="eastAsia" w:asciiTheme="minorEastAsia" w:hAnsiTheme="minorEastAsia" w:eastAsiaTheme="minorEastAsia"/>
          <w:sz w:val="24"/>
          <w:szCs w:val="24"/>
        </w:rPr>
        <w:t>结合智能化控制系统，实时监测并采集分析人员数量、人群类型、活动情况、时间变化等信息，制定最优控制策略，调节机电系统运行状态，调整室内环境参数。例如，空调室内环境参数应根据空调环境内人群的年龄段、性别等进行调整。青壮年为主的活动空间温度可以适当低一些、风速也可以适当大一些，而老年人、女士所在场所则温度不能太低、风速不能太高。</w:t>
      </w:r>
    </w:p>
    <w:p w14:paraId="2B993A46">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运行期间，运行管理人员或机构需要做好日常记录与分析，通过问卷调查、日常巡检、定期检测、用户反馈意见收集等方式，积累与整合建筑运行信息，手动或自动控制室内环境设备系统。</w:t>
      </w:r>
    </w:p>
    <w:p w14:paraId="305D502B">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6.2.3</w:t>
      </w:r>
      <w:r>
        <w:rPr>
          <w:rFonts w:hint="eastAsia" w:asciiTheme="minorEastAsia" w:hAnsiTheme="minorEastAsia" w:eastAsiaTheme="minorEastAsia"/>
          <w:sz w:val="24"/>
          <w:szCs w:val="24"/>
        </w:rPr>
        <w:t>运行期间，应根据实际需求和实际舒适度对室内的温湿度进行控制与调节，调节依据包括但不限于空间的实际功能、场景、尺寸、进深等。如：</w:t>
      </w:r>
      <w:r>
        <w:rPr>
          <w:rFonts w:asciiTheme="minorEastAsia" w:hAnsiTheme="minorEastAsia" w:eastAsiaTheme="minorEastAsia"/>
          <w:sz w:val="24"/>
          <w:szCs w:val="24"/>
        </w:rPr>
        <w:t>大空间</w:t>
      </w:r>
      <w:r>
        <w:rPr>
          <w:rFonts w:hint="eastAsia" w:asciiTheme="minorEastAsia" w:hAnsiTheme="minorEastAsia" w:eastAsiaTheme="minorEastAsia"/>
          <w:sz w:val="24"/>
          <w:szCs w:val="24"/>
        </w:rPr>
        <w:t>和</w:t>
      </w:r>
      <w:r>
        <w:rPr>
          <w:rFonts w:asciiTheme="minorEastAsia" w:hAnsiTheme="minorEastAsia" w:eastAsiaTheme="minorEastAsia"/>
          <w:sz w:val="24"/>
          <w:szCs w:val="24"/>
        </w:rPr>
        <w:t>超大空间</w:t>
      </w:r>
      <w:r>
        <w:rPr>
          <w:rFonts w:hint="eastAsia" w:asciiTheme="minorEastAsia" w:hAnsiTheme="minorEastAsia" w:eastAsiaTheme="minorEastAsia"/>
          <w:sz w:val="24"/>
          <w:szCs w:val="24"/>
        </w:rPr>
        <w:t>的人员活动区域应</w:t>
      </w:r>
      <w:r>
        <w:rPr>
          <w:rFonts w:asciiTheme="minorEastAsia" w:hAnsiTheme="minorEastAsia" w:eastAsiaTheme="minorEastAsia"/>
          <w:sz w:val="24"/>
          <w:szCs w:val="24"/>
        </w:rPr>
        <w:t>满足平均</w:t>
      </w:r>
      <w:r>
        <w:rPr>
          <w:rFonts w:hint="eastAsia" w:asciiTheme="minorEastAsia" w:hAnsiTheme="minorEastAsia" w:eastAsiaTheme="minorEastAsia"/>
          <w:sz w:val="24"/>
          <w:szCs w:val="24"/>
        </w:rPr>
        <w:t>温湿度</w:t>
      </w:r>
      <w:r>
        <w:rPr>
          <w:rFonts w:asciiTheme="minorEastAsia" w:hAnsiTheme="minorEastAsia" w:eastAsiaTheme="minorEastAsia"/>
          <w:sz w:val="24"/>
          <w:szCs w:val="24"/>
        </w:rPr>
        <w:t>水平要求</w:t>
      </w:r>
      <w:r>
        <w:rPr>
          <w:rFonts w:hint="eastAsia" w:asciiTheme="minorEastAsia" w:hAnsiTheme="minorEastAsia" w:eastAsiaTheme="minorEastAsia"/>
          <w:sz w:val="24"/>
          <w:szCs w:val="24"/>
        </w:rPr>
        <w:t>；应根据杆件不同的进深设置不同的温湿度：</w:t>
      </w:r>
      <w:r>
        <w:rPr>
          <w:rFonts w:asciiTheme="minorEastAsia" w:hAnsiTheme="minorEastAsia" w:eastAsiaTheme="minorEastAsia"/>
          <w:sz w:val="24"/>
          <w:szCs w:val="24"/>
        </w:rPr>
        <w:t>靠近室外门口的</w:t>
      </w:r>
      <w:r>
        <w:rPr>
          <w:rFonts w:hint="eastAsia" w:asciiTheme="minorEastAsia" w:hAnsiTheme="minorEastAsia" w:eastAsiaTheme="minorEastAsia"/>
          <w:sz w:val="24"/>
          <w:szCs w:val="24"/>
        </w:rPr>
        <w:t>过渡</w:t>
      </w:r>
      <w:r>
        <w:rPr>
          <w:rFonts w:asciiTheme="minorEastAsia" w:hAnsiTheme="minorEastAsia" w:eastAsiaTheme="minorEastAsia"/>
          <w:sz w:val="24"/>
          <w:szCs w:val="24"/>
        </w:rPr>
        <w:t>空间不应与室外温度差别过大。</w:t>
      </w:r>
    </w:p>
    <w:p w14:paraId="06D95911">
      <w:pPr>
        <w:spacing w:before="100" w:beforeAutospacing="1" w:after="100" w:afterAutospacing="1" w:line="312" w:lineRule="auto"/>
        <w:rPr>
          <w:rFonts w:asciiTheme="minorEastAsia" w:hAnsiTheme="minorEastAsia" w:eastAsiaTheme="minorEastAsia"/>
          <w:sz w:val="24"/>
          <w:szCs w:val="24"/>
        </w:rPr>
      </w:pPr>
      <w:r>
        <w:rPr>
          <w:rFonts w:hint="eastAsia" w:asciiTheme="minorEastAsia" w:hAnsiTheme="minorEastAsia" w:eastAsiaTheme="minorEastAsia"/>
          <w:b/>
          <w:bCs/>
          <w:sz w:val="24"/>
          <w:szCs w:val="24"/>
        </w:rPr>
        <w:t>6.2.4</w:t>
      </w:r>
      <w:r>
        <w:rPr>
          <w:rFonts w:hint="eastAsia" w:asciiTheme="minorEastAsia" w:hAnsiTheme="minorEastAsia" w:eastAsiaTheme="minorEastAsia"/>
          <w:sz w:val="24"/>
          <w:szCs w:val="24"/>
        </w:rPr>
        <w:t>运行期间，建筑使用者及物业管理宜合理布局室内家具设备，根据室外景观及采光位置，确定观景或休息区域，调整临窗区域的家具与设施。</w:t>
      </w:r>
    </w:p>
    <w:p w14:paraId="5B3A93AD">
      <w:pPr>
        <w:spacing w:before="100" w:beforeAutospacing="1" w:after="100" w:afterAutospacing="1" w:line="312" w:lineRule="auto"/>
        <w:rPr>
          <w:rFonts w:asciiTheme="minorEastAsia" w:hAnsiTheme="minorEastAsia" w:eastAsiaTheme="minorEastAsia"/>
          <w:b/>
          <w:bCs/>
          <w:sz w:val="24"/>
        </w:rPr>
      </w:pPr>
      <w:r>
        <w:rPr>
          <w:rFonts w:hint="eastAsia" w:asciiTheme="minorEastAsia" w:hAnsiTheme="minorEastAsia" w:eastAsiaTheme="minorEastAsia"/>
          <w:b/>
          <w:bCs/>
          <w:sz w:val="24"/>
          <w:szCs w:val="24"/>
        </w:rPr>
        <w:t>6.2.5</w:t>
      </w:r>
      <w:r>
        <w:rPr>
          <w:rFonts w:hint="eastAsia" w:asciiTheme="minorEastAsia" w:hAnsiTheme="minorEastAsia" w:eastAsiaTheme="minorEastAsia"/>
          <w:sz w:val="24"/>
          <w:szCs w:val="24"/>
        </w:rPr>
        <w:t>根据室外天气情况、时刻变化、噪声源位置等，调整窗户开启比例及内遮阳比例。</w:t>
      </w:r>
    </w:p>
    <w:p w14:paraId="71403E05">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6.2.6</w:t>
      </w:r>
      <w:r>
        <w:rPr>
          <w:rFonts w:hint="eastAsia" w:asciiTheme="minorEastAsia" w:hAnsiTheme="minorEastAsia" w:eastAsiaTheme="minorEastAsia"/>
          <w:sz w:val="24"/>
          <w:szCs w:val="24"/>
        </w:rPr>
        <w:t>本条文主要关注舒适性声环境的创造：</w:t>
      </w:r>
    </w:p>
    <w:p w14:paraId="48982E6B">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第1款侧重室内背景噪声的控制。室内背景噪声主要为室内设备及管道等产生的噪声。运行期间，物业管理或用户宜实时跟踪室内背景噪声情况，通过降低声源噪声、在传播路径上进行降噪、对接收者进行防护三大途径控制噪声。（1）控制噪声源：定期对设备进行维护和保养，确保其正常运行，减少噪声源的鼓掌和异常噪声，维护包括设备的润滑、清洁、紧固和调整，以及定期检查和更换噪声源设备的磨损和老化部件。同时对于打印机等噪声较大的设备，在家具布局时应考虑放置于远离用户频繁活动的场所。（2）在传播路径上进行降噪：采用高背沙发、工位隔断、植物墙、移动式隔音墙板等措施，将用户与设备噪声源隔断。（3）对接收者进行防护：通过为用户配置降噪耳机、降噪耳塞、在室内配置白噪声播放器、声掩蔽设备等措施降低背景噪声对用户的影响。根据房间类型及用户需求，选择合适的措施，如在开放式办公室可安装声掩蔽设备、在酒店客房可为住户提供降噪耳塞或白噪声播放器等。白噪声是同一个单位的随机信号功率谱。它是持续的低强度噪声，当作为背景声音时，它减弱内部空间中分散人注意力并且不希望出现的噪声（如交谈声、设备噪声等）。研究表明,一个稳定、平和的声音流，如白噪声、可过滤和分散噪音，可以帮助减轻噪音分心，帮助人们放松、睡眠。</w:t>
      </w:r>
    </w:p>
    <w:p w14:paraId="1139883B">
      <w:pPr>
        <w:spacing w:before="100" w:beforeAutospacing="1" w:after="100" w:afterAutospacing="1" w:line="312"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第2款侧重背景音乐的设置。考虑不同建筑功能及用户活动状态，配置音乐播放装置，创造舒适或适宜的声环境，改善听觉环境对人体知觉的影响，促进心理健康或增强场景氛围。对于医院等疗养场所，用科学调配的音乐处方营造充满治愈氛围的医疗环境，帮助患者改善认知、社会心理、行为及运动机能，提升整体精神状态。对于酒店公共区域，创造与酒店风格融合呼应的音乐环境，在感官上营造愉悦身心，清心静气，舒适放松的氛围。对于办公区域，根据用户要求及实际情况灵活变通音乐环境，优化员工办公环境，提升员工福祉。对于会展或会议活动场所，通过风格各异的音乐列表打造可根据实际场合自动调整的高度灵活音乐氛围。对于商场公区及零售区域，通过与品牌相匹配的音乐环境增强品牌影响力和感召力，打造独特的购物体验。对于餐饮场所，根据品牌及场景风格设计独特的音乐列表，并编排音乐根据时间自动变换，配合对不同时段餐饮氛围的期望。对于公寓住宅或酒店客房等私人空间，提供独立的智能播放设备，允许用户独立控制背景音乐，满足个性化需求。</w:t>
      </w:r>
    </w:p>
    <w:p w14:paraId="672BEC3D">
      <w:pPr>
        <w:widowControl/>
        <w:spacing w:before="100" w:beforeAutospacing="1" w:after="100" w:afterAutospacing="1" w:line="312" w:lineRule="auto"/>
        <w:rPr>
          <w:rFonts w:asciiTheme="minorEastAsia" w:hAnsiTheme="minorEastAsia" w:eastAsiaTheme="minorEastAsia"/>
          <w:sz w:val="24"/>
          <w:szCs w:val="24"/>
        </w:rPr>
      </w:pPr>
    </w:p>
    <w:p w14:paraId="1B12D1D4">
      <w:pPr>
        <w:spacing w:before="100" w:beforeAutospacing="1" w:after="100" w:afterAutospacing="1" w:line="312" w:lineRule="auto"/>
        <w:jc w:val="center"/>
        <w:outlineLvl w:val="1"/>
        <w:rPr>
          <w:rFonts w:asciiTheme="minorEastAsia" w:hAnsiTheme="minorEastAsia" w:eastAsiaTheme="minorEastAsia"/>
          <w:b/>
          <w:bCs/>
          <w:sz w:val="24"/>
          <w:szCs w:val="24"/>
        </w:rPr>
      </w:pPr>
      <w:bookmarkStart w:id="385" w:name="_Toc7547"/>
      <w:bookmarkStart w:id="386" w:name="_Toc16811"/>
      <w:bookmarkStart w:id="387" w:name="_Toc10327"/>
      <w:r>
        <w:rPr>
          <w:rFonts w:asciiTheme="minorEastAsia" w:hAnsiTheme="minorEastAsia" w:eastAsiaTheme="minorEastAsia"/>
          <w:b/>
          <w:bCs/>
          <w:sz w:val="24"/>
          <w:szCs w:val="24"/>
        </w:rPr>
        <w:t>6.3 化学环境维护</w:t>
      </w:r>
      <w:bookmarkEnd w:id="385"/>
      <w:bookmarkEnd w:id="386"/>
      <w:bookmarkEnd w:id="387"/>
    </w:p>
    <w:p w14:paraId="3C087A8C">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6.3.1</w:t>
      </w:r>
      <w:r>
        <w:rPr>
          <w:rFonts w:hint="eastAsia" w:asciiTheme="minorEastAsia" w:hAnsiTheme="minorEastAsia" w:eastAsiaTheme="minorEastAsia"/>
          <w:sz w:val="24"/>
          <w:szCs w:val="24"/>
        </w:rPr>
        <w:t>本条文侧重对污水废水、炊事餐饮产生的异味进行实施监测与控制。控制排水系统产生异味的措施可包括：定期检查浴室排水情况、定期倒水以保持弯管湿润、更换丢失的地漏清洗口塞、定期清洁排水口以去除生物膜、处理堵塞的排水线路等。</w:t>
      </w:r>
    </w:p>
    <w:p w14:paraId="2C52201B">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cstheme="minorEastAsia"/>
          <w:b/>
          <w:bCs/>
          <w:sz w:val="24"/>
          <w:szCs w:val="24"/>
        </w:rPr>
        <w:t xml:space="preserve">6.3.3 </w:t>
      </w:r>
      <w:r>
        <w:rPr>
          <w:rFonts w:hint="eastAsia" w:asciiTheme="minorEastAsia" w:hAnsiTheme="minorEastAsia" w:eastAsiaTheme="minorEastAsia"/>
          <w:sz w:val="24"/>
          <w:szCs w:val="24"/>
        </w:rPr>
        <w:t>采用无公害病虫害防止技术，一方面提倡采用生物制剂、仿生制剂等无公害防治技术，以物理防治、生物防治为主，化学防治为辅，淘汰高毒性化学产品,杀虫剂环保性能应满足《生态设计产品评价规范第3部分:杀虫剂》GB/T 32163.3- 2015中的环境属性和产品属性，洗涤剂环保性能应满足《生态设计产品评价规范—第1部分：家用洗涤剂》（GB/T 32163.1-2015）《清洗剂挥发性有机化合物含量限值》（GB 38508—2020）等规范。另一方面规范杀虫剂、除草剂、化肥、农药、清洁剂等化学品的使用,加强预报预测。在进行病虫害防治时，要提前公示,避免对易感人群产生伤害。灭鼠灭嫜等药物要安全隐蔽并有明确提示，避免发生儿童或宠物误食事故。在进行病虫害消杀工作时，一定要谨慎采用各种化学用品。</w:t>
      </w:r>
    </w:p>
    <w:p w14:paraId="65A67E14">
      <w:pPr>
        <w:widowControl/>
        <w:spacing w:before="100" w:beforeAutospacing="1" w:after="100" w:afterAutospacing="1" w:line="312" w:lineRule="auto"/>
        <w:rPr>
          <w:rFonts w:asciiTheme="minorEastAsia" w:hAnsiTheme="minorEastAsia" w:eastAsiaTheme="minorEastAsia"/>
          <w:sz w:val="24"/>
          <w:szCs w:val="24"/>
        </w:rPr>
      </w:pPr>
    </w:p>
    <w:p w14:paraId="3F3FB00A">
      <w:pPr>
        <w:widowControl/>
        <w:spacing w:before="100" w:beforeAutospacing="1" w:after="100" w:afterAutospacing="1" w:line="312" w:lineRule="auto"/>
        <w:jc w:val="center"/>
        <w:rPr>
          <w:rFonts w:asciiTheme="minorEastAsia" w:hAnsiTheme="minorEastAsia" w:eastAsiaTheme="minorEastAsia"/>
          <w:b/>
          <w:bCs/>
          <w:sz w:val="24"/>
          <w:szCs w:val="24"/>
        </w:rPr>
      </w:pPr>
      <w:r>
        <w:rPr>
          <w:rFonts w:asciiTheme="minorEastAsia" w:hAnsiTheme="minorEastAsia" w:eastAsiaTheme="minorEastAsia"/>
          <w:b/>
          <w:bCs/>
          <w:sz w:val="24"/>
          <w:szCs w:val="24"/>
        </w:rPr>
        <w:t>6.4 生物环境维护</w:t>
      </w:r>
    </w:p>
    <w:p w14:paraId="09514342">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6.4.2</w:t>
      </w:r>
      <w:r>
        <w:rPr>
          <w:rFonts w:hint="eastAsia" w:asciiTheme="minorEastAsia" w:hAnsiTheme="minorEastAsia" w:eastAsiaTheme="minorEastAsia"/>
          <w:sz w:val="24"/>
          <w:szCs w:val="24"/>
        </w:rPr>
        <w:t>卫生死角是指由于位置或清洁难度较大而长时间没有清理或清理不当，形成的几乎无法清理的区域。包括床底、墙角、天花、风管、灯罩、空调滤网、饮水机槽、垃圾桶内、洗衣机筒、冰箱内部等区域。应制定科学的方案以及选用适当的清洁手段及清洁剂，定期对卫生死角进行清理，避免卫生死角内污染物的积累，防止衍生霉菌或滋生病虫害等卫生事故的发生。对于易腐蚀环境下容易腐蚀的材料必须及时更换，避免卫生死角的形成。同时建立卫生死角的记录，分析清理情况，提出合理化建议，改进清理工作</w:t>
      </w:r>
    </w:p>
    <w:p w14:paraId="0D8DE35E">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6.4.3</w:t>
      </w:r>
      <w:r>
        <w:rPr>
          <w:rFonts w:hint="eastAsia" w:asciiTheme="minorEastAsia" w:hAnsiTheme="minorEastAsia" w:eastAsiaTheme="minorEastAsia"/>
          <w:sz w:val="24"/>
          <w:szCs w:val="24"/>
        </w:rPr>
        <w:t>应定期对集中空调通风系统进行检查、检测和维护。包括:</w:t>
      </w:r>
    </w:p>
    <w:p w14:paraId="17583CF5">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a)集中空调通风系统每年开展不应少于一次检测，结果应符合5.1～5.4规定;空调运行期每月开展冷却水、冷凝水、喷雾或冷水蒸发加湿方式用水卫生质量检测，结果应符合《公共场所集中空调通风系统卫生规范》WS 10013规定;</w:t>
      </w:r>
    </w:p>
    <w:p w14:paraId="2F273223">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b)集中空调通风系统初次启用或者停用半年及以上再次使用时，应开展卫生质量检测，结果应符合《公共场所集中空调通风系统卫生规范》WS 10013规定;</w:t>
      </w:r>
    </w:p>
    <w:p w14:paraId="0DBB25DC">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c)）风管检查维护周期每两年不应少于一次，空气处理机组检查维护周期每年不应少于一次。</w:t>
      </w:r>
    </w:p>
    <w:p w14:paraId="5FA824CA">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应定期对集中空调通风系统下列部位进行清洗:</w:t>
      </w:r>
    </w:p>
    <w:p w14:paraId="5098383E">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a)开放式冷却塔每年清洗不应少于一次，初次启用或者停用半年及以上再次使用时，应全面消毒;</w:t>
      </w:r>
    </w:p>
    <w:p w14:paraId="7AB27AB6">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b)空气过滤网、过滤器、净化器、防鼠装置等每六个月清洗或者更换不应少于一次;c)）空气处理机组、表冷器、加热（湿）器、冷凝水盘等每年清洗不应少于一次。</w:t>
      </w:r>
    </w:p>
    <w:p w14:paraId="2C1A904E">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集中空调通风系统出现下列情况时，应立即停止使用，按照WS/T10005对相关部位进行清洗消毒，经检测或按照WS/T 10004进行卫生学评价合格后方可重新启用：</w:t>
      </w:r>
    </w:p>
    <w:p w14:paraId="121EC14D">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a)冷却水、冷凝水、喷雾或冷水蒸发加湿方式用水中检出嗜肺军团菌，或冷却水水质不符合《公共场所集中空调通风系统卫生规范》WS 10013规定；</w:t>
      </w:r>
    </w:p>
    <w:p w14:paraId="40EA6CF5">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b)送风质量不符合《公共场所集中空调通风系统卫生规范》WS 10013规定；</w:t>
      </w:r>
    </w:p>
    <w:p w14:paraId="7C62BF81">
      <w:pPr>
        <w:spacing w:before="100" w:beforeAutospacing="1" w:after="100" w:afterAutospacing="1" w:line="312" w:lineRule="auto"/>
        <w:ind w:firstLine="480" w:firstLineChars="200"/>
        <w:rPr>
          <w:rFonts w:asciiTheme="minorEastAsia" w:hAnsiTheme="minorEastAsia" w:eastAsiaTheme="minorEastAsia"/>
          <w:b/>
          <w:bCs/>
          <w:sz w:val="24"/>
        </w:rPr>
      </w:pPr>
      <w:r>
        <w:rPr>
          <w:rFonts w:hint="eastAsia" w:asciiTheme="minorEastAsia" w:hAnsiTheme="minorEastAsia" w:eastAsiaTheme="minorEastAsia"/>
          <w:sz w:val="24"/>
          <w:szCs w:val="24"/>
        </w:rPr>
        <w:t>c)风管内表面卫生质量不符合《公共场所集中空调通风系统卫生规范》WS 10013规定；</w:t>
      </w:r>
    </w:p>
    <w:p w14:paraId="7359A328">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6.4.4</w:t>
      </w:r>
      <w:r>
        <w:rPr>
          <w:rFonts w:hint="eastAsia" w:asciiTheme="minorEastAsia" w:hAnsiTheme="minorEastAsia" w:eastAsiaTheme="minorEastAsia"/>
          <w:sz w:val="24"/>
          <w:szCs w:val="24"/>
        </w:rPr>
        <w:t>本条文意在控制室内的生物环境，通过绿色清洁、霉菌控制、害虫预防与消杀等三个主要途径进行控制:</w:t>
      </w:r>
    </w:p>
    <w:p w14:paraId="50D539EE">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 1 清洁卫生：采用绿色环保清洁用品定期清扫室内空间，确保房间环境保持整洁、干净。</w:t>
      </w:r>
    </w:p>
    <w:p w14:paraId="1F1C37CE">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 2 霉菌与军团菌控制：包含但不限于如下措施：</w:t>
      </w:r>
    </w:p>
    <w:p w14:paraId="1895933C">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（1）定期检查并清理水渍或积水，以及天花板、墙壁或地板上的变色和霉菌（不少于每季一次，潮湿房间不少于每月一次）；</w:t>
      </w:r>
    </w:p>
    <w:p w14:paraId="3D3E1D85">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（2）定期清洁空调冷凝水盘（不少于每月一次，另外空调季开始和结束时各一次）；</w:t>
      </w:r>
    </w:p>
    <w:p w14:paraId="12FF3E0D">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（3）空调通风系统定期进行专业清理（每年空调季开始前，高湿空间不少于每半年一次）。</w:t>
      </w:r>
    </w:p>
    <w:p w14:paraId="64FC3E2E">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 3 害虫预防与消杀：包含但不限于如下措施：</w:t>
      </w:r>
    </w:p>
    <w:p w14:paraId="3BEA5329">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（1）破坏虫害的室外生存环境：设置分类垃圾桶，带密闭盖。垃圾桶定期清理（不少于每日一次） 小区设封闭式干湿垃圾间，配备完好的给排水、通风、空调条件。其中，湿垃圾间室温≤10℃。</w:t>
      </w:r>
    </w:p>
    <w:p w14:paraId="27852DAE">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（2）做好建筑内物理预防措施，例如根据天气的状况启闭门窗以预防白蚁、装设纱窗等预防蚊虫、采用物理隔断方式预防老鼠蟑螂等进入室内空间。</w:t>
      </w:r>
    </w:p>
    <w:p w14:paraId="3B362143">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（3）定期对室内外环境进行灭虫：建立病虫害消杀工作管理制度并保存消杀记录，每年开展的消杀工作≥2次；采取无公害病虫害防治技术，杀虫剂、农药等化学药品的使用规范、安全，并有公示记录。</w:t>
      </w:r>
    </w:p>
    <w:p w14:paraId="26A6D1E5">
      <w:pPr>
        <w:widowControl/>
        <w:spacing w:before="100" w:beforeAutospacing="1" w:after="100" w:afterAutospacing="1" w:line="312" w:lineRule="auto"/>
        <w:jc w:val="center"/>
        <w:rPr>
          <w:rFonts w:asciiTheme="minorEastAsia" w:hAnsiTheme="minorEastAsia" w:eastAsiaTheme="minorEastAsia"/>
          <w:b/>
          <w:bCs/>
          <w:sz w:val="24"/>
          <w:szCs w:val="24"/>
        </w:rPr>
      </w:pPr>
    </w:p>
    <w:p w14:paraId="68CF0DC3">
      <w:pPr>
        <w:widowControl/>
        <w:spacing w:before="100" w:beforeAutospacing="1" w:after="100" w:afterAutospacing="1" w:line="312" w:lineRule="auto"/>
        <w:jc w:val="center"/>
        <w:rPr>
          <w:rFonts w:asciiTheme="minorEastAsia" w:hAnsiTheme="minorEastAsia" w:eastAsiaTheme="minorEastAsia"/>
          <w:b/>
          <w:bCs/>
          <w:sz w:val="24"/>
          <w:szCs w:val="24"/>
        </w:rPr>
      </w:pPr>
      <w:r>
        <w:rPr>
          <w:rFonts w:asciiTheme="minorEastAsia" w:hAnsiTheme="minorEastAsia" w:eastAsiaTheme="minorEastAsia"/>
          <w:b/>
          <w:bCs/>
          <w:sz w:val="24"/>
          <w:szCs w:val="24"/>
        </w:rPr>
        <w:t>6.5 精神环境维护</w:t>
      </w:r>
    </w:p>
    <w:p w14:paraId="6A4FEE4B">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6.5.1</w:t>
      </w:r>
      <w:r>
        <w:rPr>
          <w:rFonts w:hint="eastAsia" w:asciiTheme="minorEastAsia" w:hAnsiTheme="minorEastAsia" w:eastAsiaTheme="minorEastAsia"/>
          <w:sz w:val="24"/>
          <w:szCs w:val="24"/>
        </w:rPr>
        <w:t>本条文主要关注房间内的色彩设计。研究表明，色彩和光线对人的生理和心理都有明显的作用，会影响我们的情绪、睡眠、心率，甚至我们的健康。为了提供所需的空间体验，色彩可以在完全不改变墙壁厚度的情况下改变人们对空间的感知。这可以通过粉刷墙面、使用不同的材料、应用不同的涂料、采用灯光或电子投影系统来实现。其中，展馆空间或医疗更需关注色彩与灯光的设计。</w:t>
      </w:r>
    </w:p>
    <w:p w14:paraId="1775A823">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在展览、会展、主题活动等设计中，色彩和灯光也是重要的元素，它门可通过配和运用，营造出符合主题的氛围，同时通过对不同色彩、灯光形式与色光的研究与运用，影响用户的情绪和感受，以引导用户的注意力和行为互动。</w:t>
      </w:r>
    </w:p>
    <w:p w14:paraId="17C007FB">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色彩是医院室内环境非常重要的构成要，通过色彩对人心理和行为的研究，有助于提升人们在医院环境的就医体验。医院等治疗康复场所建议采用舒缓的色调和色光进行空间的延展达到身心的疗愈。在儿童康复诊所中可以大自然为灵感并与儿童插画设计风格相结合的形式，通过灯光设计将蜿蜒明亮的色彩变幻让儿童自然地融入医疗空间，缓解儿童在医疗空间的紧张情绪，赋能康复治疗效果。</w:t>
      </w:r>
    </w:p>
    <w:p w14:paraId="3CFEE3AD">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6.5.2</w:t>
      </w:r>
      <w:r>
        <w:rPr>
          <w:rFonts w:hint="eastAsia" w:asciiTheme="minorEastAsia" w:hAnsiTheme="minorEastAsia" w:eastAsiaTheme="minorEastAsia"/>
          <w:sz w:val="24"/>
          <w:szCs w:val="24"/>
        </w:rPr>
        <w:t>本条文针对展会、大型活动区、展示区以及疗养空间等特殊室内空间。光影效果除了满足空间的照明需要以外，还承担着装饰空间、营造空间意境氛围的责任。光影是一种视觉表达的语言，除了能够在空间中与空间造型等结合，丰富室内空间效果、满足用户的视觉感受、增加趣味性、营造特殊氛围，也能够在一定程度上影响用户的心理感受。</w:t>
      </w:r>
    </w:p>
    <w:p w14:paraId="1971463B">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在室内空间中，通过选择不同的灯具造型及灯具布局，调节灯光的亮度、强度、色彩、色温等，实现对光影效果的控制，从而为整体空间增加美感。同时结合多媒体技术，设置全息投影、多媒体互动装置等，针对场景或空间功能类型的不同，设计出独特的光影效果，增强场景氛围的同时，为用户带来积极的心理感受。</w:t>
      </w:r>
    </w:p>
    <w:p w14:paraId="29A00BDE">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在展示空间或大型活动场景，采用光影与多媒体结合的半景画、全息投影、多媒体互动装置等，调动观众的多种感官，同时增添整个展示空间的趣味性。例如在历史题材的博物馆中，采用较为昏暗的灯光来配合历史场景再现，用光影效果烘托一种沉重的氛围，引导参观者正面过去沉重的历史，从视觉上和心理上体会到战争的苦难。</w:t>
      </w:r>
    </w:p>
    <w:p w14:paraId="7BF41398">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灯光的作用并非只是照亮某物或者某一空间，它也可以给人带来安全感、温暖感、具有疗愈的作用。对于医院或疗养康复类建筑，可在公共区域或者儿童区域应用创意性的互动照明装置，让灯光和人产生娱乐性的互动效果，提升环境的情趣，同时使病人产生积极情绪，放松心情。同时也可在病房等其他区域应用场景照明装置，允许患者根据房间内的氛围，自由选择合适的光影效果来契合不同的时段和心情。打破医院在患者内心胁迫性的固有理念，有效减轻患者压力，改善检查治疗效率和结果。</w:t>
      </w:r>
    </w:p>
    <w:p w14:paraId="5DA0A727">
      <w:pPr>
        <w:spacing w:before="100" w:beforeAutospacing="1" w:after="100" w:afterAutospacing="1" w:line="312" w:lineRule="auto"/>
        <w:rPr>
          <w:rFonts w:hint="eastAsia" w:asciiTheme="minorEastAsia" w:hAnsiTheme="minorEastAsia" w:eastAsiaTheme="minorEastAsia"/>
          <w:sz w:val="24"/>
          <w:szCs w:val="24"/>
        </w:rPr>
      </w:pPr>
      <w:r>
        <w:rPr>
          <w:rFonts w:hint="eastAsia" w:asciiTheme="minorEastAsia" w:hAnsiTheme="minorEastAsia" w:eastAsiaTheme="minorEastAsia"/>
          <w:b/>
          <w:bCs/>
          <w:sz w:val="24"/>
          <w:szCs w:val="24"/>
        </w:rPr>
        <w:t>6.5.3</w:t>
      </w:r>
      <w:r>
        <w:rPr>
          <w:rFonts w:hint="eastAsia" w:asciiTheme="minorEastAsia" w:hAnsiTheme="minorEastAsia" w:eastAsiaTheme="minorEastAsia"/>
          <w:sz w:val="24"/>
          <w:szCs w:val="24"/>
        </w:rPr>
        <w:t>在举办展会及大型活动的条件下，需要注意场景的构建与用户体验的创造。根据活动与产品类型、用户需求与偏好，结合线下与线上模式，布置现场物理设施和设置数字场景，确保整体布局统一的同时，塑造用户感官体验以及思维认同。现场物理设施包括：环境、造型、道具、装置、色彩、光影、氛围；数字场景包括：投影、多媒体互动装置等数字设备。</w:t>
      </w:r>
    </w:p>
    <w:p w14:paraId="77396399">
      <w:pPr>
        <w:spacing w:before="100" w:beforeAutospacing="1" w:after="100" w:afterAutospacing="1" w:line="312" w:lineRule="auto"/>
        <w:rPr>
          <w:rFonts w:asciiTheme="minorEastAsia" w:hAnsiTheme="minorEastAsia" w:eastAsiaTheme="minorEastAsia"/>
          <w:sz w:val="24"/>
          <w:szCs w:val="24"/>
        </w:rPr>
      </w:pPr>
    </w:p>
    <w:p w14:paraId="6FAEDC04">
      <w:pPr>
        <w:spacing w:before="100" w:beforeAutospacing="1" w:after="100" w:afterAutospacing="1" w:line="312" w:lineRule="auto"/>
        <w:jc w:val="center"/>
        <w:outlineLvl w:val="1"/>
        <w:rPr>
          <w:rFonts w:asciiTheme="minorEastAsia" w:hAnsiTheme="minorEastAsia" w:eastAsiaTheme="minorEastAsia"/>
          <w:b/>
          <w:bCs/>
          <w:sz w:val="24"/>
          <w:szCs w:val="24"/>
        </w:rPr>
      </w:pPr>
      <w:bookmarkStart w:id="388" w:name="_Toc5568"/>
      <w:bookmarkStart w:id="389" w:name="_Toc13441"/>
      <w:bookmarkStart w:id="390" w:name="_Toc6315"/>
      <w:r>
        <w:rPr>
          <w:rFonts w:asciiTheme="minorEastAsia" w:hAnsiTheme="minorEastAsia" w:eastAsiaTheme="minorEastAsia"/>
          <w:b/>
          <w:bCs/>
          <w:sz w:val="24"/>
          <w:szCs w:val="24"/>
        </w:rPr>
        <w:t>6.6 人本关怀维护</w:t>
      </w:r>
      <w:bookmarkEnd w:id="388"/>
      <w:bookmarkEnd w:id="389"/>
      <w:bookmarkEnd w:id="390"/>
    </w:p>
    <w:p w14:paraId="223B73F9">
      <w:pPr>
        <w:spacing w:before="100" w:beforeAutospacing="1" w:after="100" w:afterAutospacing="1" w:line="312" w:lineRule="auto"/>
        <w:rPr>
          <w:rFonts w:asciiTheme="minorEastAsia" w:hAnsiTheme="minorEastAsia" w:eastAsiaTheme="minorEastAsia"/>
          <w:b/>
          <w:bCs/>
          <w:sz w:val="24"/>
        </w:rPr>
      </w:pPr>
      <w:r>
        <w:rPr>
          <w:rFonts w:hint="eastAsia" w:asciiTheme="minorEastAsia" w:hAnsiTheme="minorEastAsia" w:eastAsiaTheme="minorEastAsia"/>
          <w:b/>
          <w:bCs/>
          <w:sz w:val="24"/>
          <w:szCs w:val="24"/>
        </w:rPr>
        <w:t>6.6.2</w:t>
      </w:r>
      <w:r>
        <w:rPr>
          <w:rFonts w:hint="eastAsia" w:asciiTheme="minorEastAsia" w:hAnsiTheme="minorEastAsia" w:eastAsiaTheme="minorEastAsia"/>
          <w:sz w:val="24"/>
          <w:szCs w:val="24"/>
        </w:rPr>
        <w:t>医院、学校、养老院等病患、儿童、老人等免疫力较低人群聚集的场所，座椅或床具的使用率较高，因此家具的表面材料对他们的舒适度及健康影响较大。坐式与卧式家具中，与人体接触的表面宜选用导热系数小柔软度高的材料，例如织物、皮革等，避免选用金属、塑料等导热系数较大硬度高的材料。</w:t>
      </w:r>
    </w:p>
    <w:p w14:paraId="5DDCEE4C">
      <w:pPr>
        <w:spacing w:before="100" w:beforeAutospacing="1" w:after="100" w:afterAutospacing="1" w:line="312" w:lineRule="auto"/>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6.6.5</w:t>
      </w:r>
    </w:p>
    <w:p w14:paraId="7FAEC773">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第1款 人行流线应随着室内空间实际布局情况和用户的实际需求而设计或调整更新，在满足便捷性的基础上，宜结合室内装修风格、家具布局等，合理设计流线，可通过灯具、结构构件、移动面板等使人行流线系统更清晰美观，在确保其边界明确的同时，注重人行流线对用户心理与感知的影响。</w:t>
      </w:r>
    </w:p>
    <w:p w14:paraId="6F2691EB">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第2款 标识牌在造型、设置和布局等方面应严格遵循现行国家标准《标牌》GB-T 13306《公共建筑标识系统技术规范》GB/T51223等的要求，工艺讲究，美观醒目。在设置方面，根据人们的行为习惯和人体工程学原理，控制标识牌的高度、视距、间距以及字体大小等。在布局与美观方面，注意标识系统的材质、外观、位置、艺术表现等，确保与整个室内环境设计风格协调统一。</w:t>
      </w:r>
    </w:p>
    <w:p w14:paraId="35B8CA0D">
      <w:pPr>
        <w:spacing w:before="100" w:beforeAutospacing="1" w:after="100" w:afterAutospacing="1" w:line="312"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第3款 对于大型公共空间或举行大型活动的空间，在空间入口等明显区域，采用有触屏的多媒体介绍系统，集视、听、声、光、形色于一体，同时在人行流线中，可适当引入听觉和视觉引导，采用智能语音交互等引导模式，从声音或光线中引导人流方向，同时结合活动类型、场景氛围等，美化显示屏风格，选择音乐风格。在快速高效地引导人流的同时，营造环境氛围，增强用户心理舒适性。</w:t>
      </w:r>
    </w:p>
    <w:p w14:paraId="0D2C1AEF">
      <w:pPr>
        <w:widowControl/>
        <w:spacing w:line="288" w:lineRule="auto"/>
        <w:jc w:val="center"/>
        <w:rPr>
          <w:b/>
          <w:bCs/>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Noto Sans SC">
    <w:panose1 w:val="020B0200000000000000"/>
    <w:charset w:val="86"/>
    <w:family w:val="swiss"/>
    <w:pitch w:val="default"/>
    <w:sig w:usb0="20000083" w:usb1="2ADF3C10" w:usb2="00000016" w:usb3="00000000" w:csb0="60060107"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41F77">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0A09A">
    <w:pPr>
      <w:pStyle w:val="4"/>
      <w:framePr w:wrap="around" w:vAnchor="text" w:hAnchor="margin" w:xAlign="center" w:y="1"/>
      <w:ind w:firstLine="360"/>
      <w:rPr>
        <w:rStyle w:val="14"/>
      </w:rPr>
    </w:pPr>
    <w:r>
      <w:rPr>
        <w:rStyle w:val="14"/>
      </w:rPr>
      <w:fldChar w:fldCharType="begin"/>
    </w:r>
    <w:r>
      <w:rPr>
        <w:rStyle w:val="14"/>
      </w:rPr>
      <w:instrText xml:space="preserve">PAGE  </w:instrText>
    </w:r>
    <w:r>
      <w:rPr>
        <w:rStyle w:val="14"/>
      </w:rPr>
      <w:fldChar w:fldCharType="end"/>
    </w:r>
  </w:p>
  <w:p w14:paraId="4FDE0923">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FB14">
    <w:pPr>
      <w:pStyle w:val="4"/>
      <w:ind w:firstLine="360"/>
      <w:jc w:val="center"/>
    </w:pPr>
    <w:r>
      <w:fldChar w:fldCharType="begin"/>
    </w:r>
    <w:r>
      <w:instrText xml:space="preserve"> PAGE   \* MERGEFORMAT </w:instrText>
    </w:r>
    <w:r>
      <w:fldChar w:fldCharType="separate"/>
    </w:r>
    <w:r>
      <w:rPr>
        <w:lang w:val="zh-CN"/>
      </w:rPr>
      <w:t>53</w:t>
    </w:r>
    <w:r>
      <w:rPr>
        <w:lang w:val="zh-CN"/>
      </w:rPr>
      <w:fldChar w:fldCharType="end"/>
    </w:r>
  </w:p>
  <w:p w14:paraId="5BB51511">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E6829">
    <w:pPr>
      <w:pStyle w:val="4"/>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0919B7A">
                          <w:pPr>
                            <w:pStyle w:val="4"/>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14:paraId="30919B7A">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r>
        <w:separator/>
      </w:r>
    </w:p>
  </w:footnote>
  <w:footnote w:type="continuationSeparator" w:id="25">
    <w:p>
      <w:r>
        <w:continuationSeparator/>
      </w:r>
    </w:p>
  </w:footnote>
  <w:footnote w:id="0">
    <w:p w14:paraId="5211192F">
      <w:pPr>
        <w:pStyle w:val="7"/>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吴志伟.室内形态设计探讨[J].装饰,2006(10):121.</w:t>
      </w:r>
    </w:p>
  </w:footnote>
  <w:footnote w:id="1">
    <w:p w14:paraId="74FFF63D">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李洁.地域文化在室内设计领域中的运用[J].大舞台,2014,(09):45-46.</w:t>
      </w:r>
    </w:p>
  </w:footnote>
  <w:footnote w:id="2">
    <w:p w14:paraId="1A967E05">
      <w:pPr>
        <w:pStyle w:val="7"/>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王昕羽,张俊笑,胡永胜.地域文化元素在室内空间设计中的应用研究[J].家具与室内装饰,2021(03):117-119.</w:t>
      </w:r>
    </w:p>
  </w:footnote>
  <w:footnote w:id="3">
    <w:p w14:paraId="1A6D4309">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邱海东.室内设计地域化刍议[J].艺术百家,2011,27(S2):96-99.</w:t>
      </w:r>
    </w:p>
  </w:footnote>
  <w:footnote w:id="4">
    <w:p w14:paraId="6CB1731A">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胡正凡.空间使用方式初探J.建筑师 北京:中国建筑工业出版社，1986:46-65.</w:t>
      </w:r>
    </w:p>
  </w:footnote>
  <w:footnote w:id="5">
    <w:p w14:paraId="6E99AD8B">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宋鸽.探析居住空间中的心理因素[J].现代装饰(理论),2014(08):246.</w:t>
      </w:r>
    </w:p>
  </w:footnote>
  <w:footnote w:id="6">
    <w:p w14:paraId="18A3AC81">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徐妃.浅析私密性在居住空间设计中的应用[J].工业设计,2019(10):87-88.</w:t>
      </w:r>
    </w:p>
  </w:footnote>
  <w:footnote w:id="7">
    <w:p w14:paraId="5A1D7FD8">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许亚.浅析展示空间中人流路线的人性化设计[J].艺术科技,2018,31(07):205.</w:t>
      </w:r>
    </w:p>
  </w:footnote>
  <w:footnote w:id="8">
    <w:p w14:paraId="38BE570A">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马潇展.互动式体验在展示设计中的运用[J].艺术科技,2017,30(04):256.</w:t>
      </w:r>
    </w:p>
  </w:footnote>
  <w:footnote w:id="9">
    <w:p w14:paraId="791DDEBD">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吴韦成.“医养结合”模式下养老机构疗愈性空间环境设计[J].现代园艺,2023,46(04):81-83.DOI:10.14051/j.cnki.xdyy.2023.04.001.</w:t>
      </w:r>
    </w:p>
  </w:footnote>
  <w:footnote w:id="10">
    <w:p w14:paraId="09F6FD23">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rStyle w:val="16"/>
          <w:color w:val="4F81BD" w:themeColor="accent1"/>
          <w:sz w:val="21"/>
          <w14:textFill>
            <w14:solidFill>
              <w14:schemeClr w14:val="accent1"/>
            </w14:solidFill>
          </w14:textFill>
        </w:rPr>
        <w:t xml:space="preserve"> </w:t>
      </w:r>
      <w:r>
        <w:rPr>
          <w:rFonts w:hint="eastAsia"/>
          <w:color w:val="4F81BD" w:themeColor="accent1"/>
          <w14:textFill>
            <w14:solidFill>
              <w14:schemeClr w14:val="accent1"/>
            </w14:solidFill>
          </w14:textFill>
        </w:rPr>
        <w:t>张金勇,张雪静,杨凯璐.情感需求影响下的病房色彩设计研究[J].设计,2023,36(22):24-27.DOI:10.20055/j.cnki.1003-0069.001318.</w:t>
      </w:r>
    </w:p>
  </w:footnote>
  <w:footnote w:id="11">
    <w:p w14:paraId="6359E095">
      <w:pPr>
        <w:pStyle w:val="7"/>
        <w:rPr>
          <w:color w:val="4F81BD" w:themeColor="accent1"/>
          <w14:textFill>
            <w14:solidFill>
              <w14:schemeClr w14:val="accent1"/>
            </w14:solidFill>
          </w14:textFill>
        </w:rPr>
      </w:pPr>
      <w:r>
        <w:rPr>
          <w:rStyle w:val="16"/>
          <w:color w:val="4F81BD" w:themeColor="accent1"/>
          <w:sz w:val="21"/>
          <w14:textFill>
            <w14:solidFill>
              <w14:schemeClr w14:val="accent1"/>
            </w14:solidFill>
          </w14:textFill>
        </w:rPr>
        <w:footnoteRef/>
      </w:r>
      <w:r>
        <w:rPr>
          <w:color w:val="4F81BD" w:themeColor="accent1"/>
          <w14:textFill>
            <w14:solidFill>
              <w14:schemeClr w14:val="accent1"/>
            </w14:solidFill>
          </w14:textFill>
        </w:rPr>
        <w:t xml:space="preserve"> </w:t>
      </w:r>
      <w:r>
        <w:rPr>
          <w:rFonts w:hint="eastAsia"/>
          <w:color w:val="4F81BD" w:themeColor="accent1"/>
          <w14:textFill>
            <w14:solidFill>
              <w14:schemeClr w14:val="accent1"/>
            </w14:solidFill>
          </w14:textFill>
        </w:rPr>
        <w:t>彭燕雪.浅析视觉导视系统设计在儿童医院中的应用[J].美与时代(上),2021(12):50-52.DOI:10.16129/j.cnki.mysds.2021.12.017.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32EDF">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1F54B">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54612">
    <w:pPr>
      <w:pStyle w:val="5"/>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footnotePr>
    <w:footnote w:id="24"/>
    <w:footnote w:id="2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092"/>
    <w:rsid w:val="00047D70"/>
    <w:rsid w:val="000F14D6"/>
    <w:rsid w:val="001362F8"/>
    <w:rsid w:val="00155F74"/>
    <w:rsid w:val="0032490F"/>
    <w:rsid w:val="00511293"/>
    <w:rsid w:val="00647201"/>
    <w:rsid w:val="00655704"/>
    <w:rsid w:val="006B3D90"/>
    <w:rsid w:val="00745B32"/>
    <w:rsid w:val="00880D0A"/>
    <w:rsid w:val="008A5888"/>
    <w:rsid w:val="008C35D9"/>
    <w:rsid w:val="008E7254"/>
    <w:rsid w:val="00A647C8"/>
    <w:rsid w:val="00A731D4"/>
    <w:rsid w:val="00A84FE0"/>
    <w:rsid w:val="00B152CF"/>
    <w:rsid w:val="00BA2CF4"/>
    <w:rsid w:val="00C3674E"/>
    <w:rsid w:val="00D34020"/>
    <w:rsid w:val="00D358E5"/>
    <w:rsid w:val="00D86C51"/>
    <w:rsid w:val="00D87EBA"/>
    <w:rsid w:val="00DA30C2"/>
    <w:rsid w:val="00DD5888"/>
    <w:rsid w:val="00E248F1"/>
    <w:rsid w:val="00E44DEF"/>
    <w:rsid w:val="00EC54AE"/>
    <w:rsid w:val="00F522FB"/>
    <w:rsid w:val="00FE3092"/>
    <w:rsid w:val="0D581646"/>
    <w:rsid w:val="0D5E127F"/>
    <w:rsid w:val="1368520E"/>
    <w:rsid w:val="1BD05E84"/>
    <w:rsid w:val="231C1E16"/>
    <w:rsid w:val="25DD1C5E"/>
    <w:rsid w:val="26E962F0"/>
    <w:rsid w:val="285C7FAC"/>
    <w:rsid w:val="2F6B403E"/>
    <w:rsid w:val="2FE400D9"/>
    <w:rsid w:val="373F1858"/>
    <w:rsid w:val="39BD6FC6"/>
    <w:rsid w:val="3D634C5A"/>
    <w:rsid w:val="3DF92B97"/>
    <w:rsid w:val="42E303BC"/>
    <w:rsid w:val="4DED6593"/>
    <w:rsid w:val="4E4F3257"/>
    <w:rsid w:val="590E769C"/>
    <w:rsid w:val="619F482C"/>
    <w:rsid w:val="68607D84"/>
    <w:rsid w:val="69594684"/>
    <w:rsid w:val="70DA42FD"/>
    <w:rsid w:val="77752FD1"/>
    <w:rsid w:val="7A9C30C5"/>
    <w:rsid w:val="7C2448A1"/>
    <w:rsid w:val="7DD83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4"/>
    <w:basedOn w:val="1"/>
    <w:next w:val="1"/>
    <w:qFormat/>
    <w:uiPriority w:val="0"/>
    <w:pPr>
      <w:keepNext/>
      <w:keepLines/>
      <w:spacing w:before="280" w:after="290" w:line="376" w:lineRule="auto"/>
      <w:outlineLvl w:val="3"/>
    </w:pPr>
    <w:rPr>
      <w:rFonts w:ascii="Cambria" w:hAnsi="Cambria" w:cs="宋体"/>
      <w:b/>
      <w:bCs/>
      <w:sz w:val="28"/>
      <w:szCs w:val="28"/>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paragraph" w:styleId="7">
    <w:name w:val="footnote text"/>
    <w:basedOn w:val="1"/>
    <w:qFormat/>
    <w:uiPriority w:val="99"/>
    <w:pPr>
      <w:snapToGrid w:val="0"/>
      <w:jc w:val="left"/>
    </w:pPr>
    <w:rPr>
      <w:sz w:val="18"/>
      <w:szCs w:val="18"/>
    </w:rPr>
  </w:style>
  <w:style w:type="paragraph" w:styleId="8">
    <w:name w:val="toc 2"/>
    <w:basedOn w:val="1"/>
    <w:next w:val="1"/>
    <w:qFormat/>
    <w:uiPriority w:val="39"/>
    <w:pPr>
      <w:ind w:left="420" w:leftChars="200"/>
    </w:pPr>
  </w:style>
  <w:style w:type="paragraph" w:styleId="9">
    <w:name w:val="Normal (Web)"/>
    <w:basedOn w:val="1"/>
    <w:qFormat/>
    <w:uiPriority w:val="0"/>
    <w:pPr>
      <w:spacing w:beforeAutospacing="1"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qFormat/>
    <w:uiPriority w:val="0"/>
    <w:rPr>
      <w:rFonts w:cs="Times New Roman"/>
    </w:rPr>
  </w:style>
  <w:style w:type="character" w:styleId="15">
    <w:name w:val="Hyperlink"/>
    <w:basedOn w:val="12"/>
    <w:unhideWhenUsed/>
    <w:qFormat/>
    <w:uiPriority w:val="99"/>
    <w:rPr>
      <w:color w:val="0000FF" w:themeColor="hyperlink"/>
      <w:u w:val="single"/>
      <w14:textFill>
        <w14:solidFill>
          <w14:schemeClr w14:val="hlink"/>
        </w14:solidFill>
      </w14:textFill>
    </w:rPr>
  </w:style>
  <w:style w:type="character" w:styleId="16">
    <w:name w:val="footnote reference"/>
    <w:basedOn w:val="12"/>
    <w:qFormat/>
    <w:uiPriority w:val="99"/>
    <w:rPr>
      <w:vertAlign w:val="superscript"/>
    </w:rPr>
  </w:style>
  <w:style w:type="table" w:customStyle="1" w:styleId="17">
    <w:name w:val="网格型1"/>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标题4"/>
    <w:basedOn w:val="2"/>
    <w:qFormat/>
    <w:uiPriority w:val="0"/>
    <w:pPr>
      <w:jc w:val="center"/>
    </w:pPr>
  </w:style>
  <w:style w:type="paragraph" w:customStyle="1" w:styleId="19">
    <w:name w:val="表头"/>
    <w:basedOn w:val="1"/>
    <w:qFormat/>
    <w:uiPriority w:val="5"/>
    <w:pPr>
      <w:snapToGrid w:val="0"/>
      <w:spacing w:before="78" w:beforeLines="25"/>
      <w:jc w:val="center"/>
    </w:pPr>
    <w:rPr>
      <w:rFonts w:eastAsia="黑体" w:cs="宋体"/>
      <w:b/>
      <w:sz w:val="18"/>
      <w:szCs w:val="21"/>
    </w:rPr>
  </w:style>
  <w:style w:type="paragraph" w:customStyle="1" w:styleId="20">
    <w:name w:val="表格内文字"/>
    <w:basedOn w:val="1"/>
    <w:qFormat/>
    <w:uiPriority w:val="99"/>
    <w:pPr>
      <w:snapToGrid w:val="0"/>
      <w:jc w:val="center"/>
    </w:pPr>
    <w:rPr>
      <w:rFonts w:cs="宋体"/>
      <w:sz w:val="18"/>
      <w:szCs w:val="18"/>
    </w:rPr>
  </w:style>
  <w:style w:type="paragraph" w:styleId="21">
    <w:name w:val="List Paragraph"/>
    <w:basedOn w:val="1"/>
    <w:qFormat/>
    <w:uiPriority w:val="34"/>
    <w:pPr>
      <w:ind w:firstLine="420" w:firstLineChars="200"/>
    </w:pPr>
  </w:style>
  <w:style w:type="paragraph" w:customStyle="1" w:styleId="22">
    <w:name w:val="样式3"/>
    <w:basedOn w:val="5"/>
    <w:qFormat/>
    <w:uiPriority w:val="0"/>
    <w:pPr>
      <w:pBdr>
        <w:bottom w:val="none" w:color="auto" w:sz="0" w:space="0"/>
      </w:pBdr>
    </w:pPr>
  </w:style>
  <w:style w:type="paragraph" w:customStyle="1" w:styleId="23">
    <w:name w:val="WPSOffice手动目录 1"/>
    <w:qFormat/>
    <w:uiPriority w:val="0"/>
    <w:rPr>
      <w:rFonts w:ascii="Calibri" w:hAnsi="Calibri" w:eastAsia="宋体" w:cs="宋体"/>
      <w:lang w:val="en-GB" w:eastAsia="zh-CN" w:bidi="ar-SA"/>
    </w:rPr>
  </w:style>
  <w:style w:type="paragraph" w:customStyle="1" w:styleId="24">
    <w:name w:val="WPSOffice手动目录 2"/>
    <w:qFormat/>
    <w:uiPriority w:val="0"/>
    <w:pPr>
      <w:ind w:left="200" w:leftChars="200"/>
    </w:pPr>
    <w:rPr>
      <w:rFonts w:ascii="Calibri" w:hAnsi="Calibri" w:eastAsia="宋体" w:cs="宋体"/>
      <w:lang w:val="en-GB" w:eastAsia="zh-CN" w:bidi="ar-SA"/>
    </w:rPr>
  </w:style>
  <w:style w:type="paragraph" w:customStyle="1" w:styleId="25">
    <w:name w:val="WPSOffice手动目录 3"/>
    <w:qFormat/>
    <w:uiPriority w:val="0"/>
    <w:pPr>
      <w:ind w:left="400" w:leftChars="400"/>
    </w:pPr>
    <w:rPr>
      <w:rFonts w:ascii="Calibri" w:hAnsi="Calibri" w:eastAsia="宋体" w:cs="宋体"/>
      <w:lang w:val="en-GB" w:eastAsia="zh-CN" w:bidi="ar-SA"/>
    </w:rPr>
  </w:style>
  <w:style w:type="paragraph" w:customStyle="1" w:styleId="2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7">
    <w:name w:val="font21"/>
    <w:basedOn w:val="12"/>
    <w:qFormat/>
    <w:uiPriority w:val="0"/>
    <w:rPr>
      <w:rFonts w:ascii="Calibri" w:hAnsi="Calibri" w:cs="Calibri"/>
      <w:color w:val="000000"/>
      <w:sz w:val="24"/>
      <w:szCs w:val="24"/>
      <w:u w:val="none"/>
    </w:rPr>
  </w:style>
  <w:style w:type="character" w:customStyle="1" w:styleId="28">
    <w:name w:val="font11"/>
    <w:basedOn w:val="12"/>
    <w:qFormat/>
    <w:uiPriority w:val="0"/>
    <w:rPr>
      <w:rFonts w:hint="eastAsia" w:ascii="仿宋" w:hAnsi="仿宋" w:eastAsia="仿宋" w:cs="仿宋"/>
      <w:color w:val="000000"/>
      <w:sz w:val="24"/>
      <w:szCs w:val="24"/>
      <w:u w:val="none"/>
    </w:rPr>
  </w:style>
  <w:style w:type="paragraph" w:customStyle="1" w:styleId="29">
    <w:name w:val="修订1"/>
    <w:hidden/>
    <w:unhideWhenUsed/>
    <w:qFormat/>
    <w:uiPriority w:val="99"/>
    <w:rPr>
      <w:rFonts w:ascii="Times New Roman" w:hAnsi="Times New Roman" w:eastAsia="宋体" w:cs="Times New Roman"/>
      <w:kern w:val="2"/>
      <w:sz w:val="21"/>
      <w:lang w:val="en-US" w:eastAsia="zh-CN" w:bidi="ar-SA"/>
    </w:rPr>
  </w:style>
  <w:style w:type="paragraph" w:customStyle="1" w:styleId="30">
    <w:name w:val="Revision"/>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oleObject" Target="embeddings/oleObject4.bin"/><Relationship Id="rId17" Type="http://schemas.openxmlformats.org/officeDocument/2006/relationships/image" Target="media/image3.wmf"/><Relationship Id="rId16" Type="http://schemas.openxmlformats.org/officeDocument/2006/relationships/oleObject" Target="embeddings/oleObject3.bin"/><Relationship Id="rId15" Type="http://schemas.openxmlformats.org/officeDocument/2006/relationships/image" Target="media/image2.wmf"/><Relationship Id="rId14" Type="http://schemas.openxmlformats.org/officeDocument/2006/relationships/oleObject" Target="embeddings/oleObject2.bin"/><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7FA2D1-CE22-48F6-A1D1-B9F87AC9E061}">
  <ds:schemaRefs/>
</ds:datastoreItem>
</file>

<file path=docProps/app.xml><?xml version="1.0" encoding="utf-8"?>
<Properties xmlns="http://schemas.openxmlformats.org/officeDocument/2006/extended-properties" xmlns:vt="http://schemas.openxmlformats.org/officeDocument/2006/docPropsVTypes">
  <Template>Normal.dotm</Template>
  <Company>广东省建筑科学研究院集团股份有限公司</Company>
  <Pages>79</Pages>
  <Words>2422</Words>
  <Characters>2770</Characters>
  <Lines>1556</Lines>
  <Paragraphs>1534</Paragraphs>
  <TotalTime>2</TotalTime>
  <ScaleCrop>false</ScaleCrop>
  <LinksUpToDate>false</LinksUpToDate>
  <CharactersWithSpaces>2912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2025-08-04T02:59:00Z</dcterms:created>
  <dc:creator>杨shichao广东建科</dc:creator>
  <cp:lastModifiedBy>漓漓</cp:lastModifiedBy>
  <cp:lastPrinted>2024-01-16T03:24:00Z</cp:lastPrinted>
  <dcterms:modified xsi:type="dcterms:W3CDTF">2025-08-05T07:46:18Z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46C4BDA4045B472DA1925916030F5367_13</vt:lpwstr>
  </property>
  <property fmtid="{D5CDD505-2E9C-101B-9397-08002B2CF9AE}" pid="4" name="KSOTemplateDocerSaveRecord">
    <vt:lpwstr>eyJoZGlkIjoiMjZiOWU0ZjY5NzUzZGMzN2UxOTg4MTVlMjZlYjFjMWQiLCJ1c2VySWQiOiIzNjcyMzA4NTUifQ==</vt:lpwstr>
  </property>
</Properties>
</file>